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74" w:rsidRPr="00073263" w:rsidRDefault="00785474" w:rsidP="00EA0169">
      <w:pPr>
        <w:rPr>
          <w:color w:val="000000" w:themeColor="text1"/>
          <w:spacing w:val="-3"/>
        </w:rPr>
      </w:pPr>
      <w:bookmarkStart w:id="0" w:name="_GoBack"/>
      <w:bookmarkEnd w:id="0"/>
      <w:r w:rsidRPr="00073263">
        <w:rPr>
          <w:b/>
          <w:color w:val="000000" w:themeColor="text1"/>
        </w:rPr>
        <w:t xml:space="preserve"> </w:t>
      </w:r>
    </w:p>
    <w:p w:rsidR="00785474" w:rsidRPr="00073263" w:rsidRDefault="00785474" w:rsidP="00D9153B">
      <w:pPr>
        <w:rPr>
          <w:rFonts w:ascii="Arial" w:hAnsi="Arial"/>
          <w:color w:val="000000" w:themeColor="text1"/>
          <w:spacing w:val="-2"/>
        </w:rPr>
      </w:pPr>
    </w:p>
    <w:p w:rsidR="00785474" w:rsidRPr="00073263" w:rsidRDefault="00785474" w:rsidP="00D9153B">
      <w:pPr>
        <w:rPr>
          <w:color w:val="000000" w:themeColor="text1"/>
          <w:sz w:val="6"/>
        </w:rPr>
        <w:sectPr w:rsidR="00785474" w:rsidRPr="00073263" w:rsidSect="00441061">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742" w:right="1195" w:bottom="1898" w:left="1195" w:header="576" w:footer="1030" w:gutter="0"/>
          <w:pgNumType w:start="1"/>
          <w:cols w:space="720"/>
          <w:titlePg/>
        </w:sectPr>
      </w:pPr>
    </w:p>
    <w:p w:rsidR="00785474" w:rsidRPr="00073263"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rPr>
      </w:pPr>
      <w:r w:rsidRPr="00073263">
        <w:rPr>
          <w:b/>
          <w:color w:val="000000" w:themeColor="text1"/>
        </w:rPr>
        <w:lastRenderedPageBreak/>
        <w:t xml:space="preserve">[Session] of </w:t>
      </w:r>
      <w:r w:rsidR="00785474" w:rsidRPr="00073263">
        <w:rPr>
          <w:b/>
          <w:color w:val="000000" w:themeColor="text1"/>
        </w:rPr>
        <w:t>(year)</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 xml:space="preserve"> (date), (Location)</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Item (number) of the provisional agenda</w:t>
      </w:r>
    </w:p>
    <w:p w:rsidR="00785474" w:rsidRPr="00073263" w:rsidRDefault="00785474" w:rsidP="00D9153B">
      <w:pPr>
        <w:ind w:right="1260"/>
        <w:rPr>
          <w:b/>
          <w:color w:val="000000" w:themeColor="text1"/>
        </w:rPr>
      </w:pPr>
      <w:r w:rsidRPr="00073263">
        <w:rPr>
          <w:b/>
          <w:color w:val="000000" w:themeColor="text1"/>
        </w:rPr>
        <w:t>Country programmes and related matters</w:t>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rPr>
      </w:pPr>
      <w:r w:rsidRPr="00073263">
        <w:rPr>
          <w:color w:val="000000" w:themeColor="text1"/>
        </w:rPr>
        <w:tab/>
      </w: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themeColor="text1"/>
        </w:rPr>
      </w:pPr>
      <w:r w:rsidRPr="00073263">
        <w:rPr>
          <w:color w:val="000000" w:themeColor="text1"/>
        </w:rPr>
        <w:t xml:space="preserve">Draft country programme document for </w:t>
      </w:r>
      <w:r w:rsidR="00DD450B" w:rsidRPr="00073263">
        <w:rPr>
          <w:color w:val="000000" w:themeColor="text1"/>
        </w:rPr>
        <w:t>Namibia</w:t>
      </w:r>
      <w:r w:rsidR="00AF1AEE" w:rsidRPr="00073263">
        <w:rPr>
          <w:color w:val="000000" w:themeColor="text1"/>
        </w:rPr>
        <w:t xml:space="preserve"> </w:t>
      </w:r>
      <w:r w:rsidR="00DD450B" w:rsidRPr="00073263">
        <w:rPr>
          <w:color w:val="000000" w:themeColor="text1"/>
        </w:rPr>
        <w:t>2014-2018</w:t>
      </w:r>
      <w:r w:rsidRPr="00073263">
        <w:rPr>
          <w:color w:val="000000" w:themeColor="text1"/>
        </w:rPr>
        <w:br/>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D450B">
      <w:pPr>
        <w:pStyle w:val="HCh"/>
        <w:spacing w:after="120"/>
        <w:rPr>
          <w:color w:val="000000" w:themeColor="text1"/>
        </w:rPr>
      </w:pPr>
      <w:r w:rsidRPr="00073263">
        <w:rPr>
          <w:b w:val="0"/>
          <w:color w:val="000000" w:themeColor="text1"/>
          <w:sz w:val="24"/>
        </w:rPr>
        <w:t xml:space="preserve"> </w:t>
      </w:r>
    </w:p>
    <w:p w:rsidR="00DD450B" w:rsidRPr="00073263" w:rsidRDefault="00DD450B" w:rsidP="00DD450B">
      <w:pPr>
        <w:pStyle w:val="HCh"/>
        <w:spacing w:after="120"/>
        <w:rPr>
          <w:b w:val="0"/>
          <w:color w:val="000000" w:themeColor="text1"/>
          <w:sz w:val="20"/>
        </w:rPr>
      </w:pPr>
      <w:r w:rsidRPr="00073263">
        <w:rPr>
          <w:b w:val="0"/>
          <w:color w:val="000000" w:themeColor="text1"/>
          <w:sz w:val="20"/>
        </w:rPr>
        <w:t>Contents</w:t>
      </w:r>
    </w:p>
    <w:tbl>
      <w:tblPr>
        <w:tblW w:w="9270" w:type="dxa"/>
        <w:tblLayout w:type="fixed"/>
        <w:tblLook w:val="01E0"/>
      </w:tblPr>
      <w:tblGrid>
        <w:gridCol w:w="900"/>
        <w:gridCol w:w="6475"/>
        <w:gridCol w:w="1240"/>
        <w:gridCol w:w="655"/>
      </w:tblGrid>
      <w:tr w:rsidR="00073263" w:rsidRPr="00073263" w:rsidTr="00724EF9">
        <w:tc>
          <w:tcPr>
            <w:tcW w:w="900" w:type="dxa"/>
          </w:tcPr>
          <w:p w:rsidR="00DD450B" w:rsidRPr="00073263" w:rsidRDefault="00DD450B" w:rsidP="00724EF9">
            <w:pPr>
              <w:spacing w:after="60"/>
              <w:rPr>
                <w:color w:val="000000" w:themeColor="text1"/>
                <w:lang w:val="en-GB"/>
              </w:rPr>
            </w:pPr>
          </w:p>
        </w:tc>
        <w:tc>
          <w:tcPr>
            <w:tcW w:w="6475" w:type="dxa"/>
          </w:tcPr>
          <w:p w:rsidR="00DD450B" w:rsidRPr="00073263" w:rsidRDefault="00DD450B" w:rsidP="00724EF9">
            <w:pPr>
              <w:spacing w:after="60"/>
              <w:rPr>
                <w:color w:val="000000" w:themeColor="text1"/>
                <w:lang w:val="en-GB"/>
              </w:rPr>
            </w:pPr>
          </w:p>
        </w:tc>
        <w:tc>
          <w:tcPr>
            <w:tcW w:w="1240"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Paragraphs</w:t>
            </w:r>
          </w:p>
        </w:tc>
        <w:tc>
          <w:tcPr>
            <w:tcW w:w="655"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Page</w:t>
            </w:r>
          </w:p>
        </w:tc>
      </w:tr>
      <w:tr w:rsidR="00073263" w:rsidRPr="00073263" w:rsidTr="00724EF9">
        <w:trPr>
          <w:trHeight w:val="382"/>
        </w:trPr>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Situation analysis………………………………………………………………</w:t>
            </w:r>
          </w:p>
        </w:tc>
        <w:tc>
          <w:tcPr>
            <w:tcW w:w="1240" w:type="dxa"/>
            <w:vAlign w:val="center"/>
          </w:tcPr>
          <w:p w:rsidR="00DD450B" w:rsidRPr="00073263" w:rsidRDefault="00DD450B" w:rsidP="00A06616">
            <w:pPr>
              <w:spacing w:after="60"/>
              <w:jc w:val="right"/>
              <w:rPr>
                <w:color w:val="000000" w:themeColor="text1"/>
                <w:lang w:val="en-GB"/>
              </w:rPr>
            </w:pPr>
            <w:r w:rsidRPr="00073263">
              <w:rPr>
                <w:color w:val="000000" w:themeColor="text1"/>
                <w:lang w:val="en-GB"/>
              </w:rPr>
              <w:t xml:space="preserve">1 - </w:t>
            </w:r>
            <w:r w:rsidR="00A06616">
              <w:rPr>
                <w:color w:val="000000" w:themeColor="text1"/>
                <w:lang w:val="en-GB"/>
              </w:rPr>
              <w:t>5</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2</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Past cooperation and lessons learned…………………………..………………</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6</w:t>
            </w:r>
            <w:r w:rsidR="00DD450B" w:rsidRPr="00073263">
              <w:rPr>
                <w:color w:val="000000" w:themeColor="text1"/>
                <w:lang w:val="en-GB"/>
              </w:rPr>
              <w:t xml:space="preserve"> - </w:t>
            </w:r>
            <w:r>
              <w:rPr>
                <w:color w:val="000000" w:themeColor="text1"/>
                <w:lang w:val="en-GB"/>
              </w:rPr>
              <w:t>8</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3</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Proposed programme…………………………………………….………….…</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9</w:t>
            </w:r>
            <w:r w:rsidR="00DD450B" w:rsidRPr="00073263">
              <w:rPr>
                <w:color w:val="000000" w:themeColor="text1"/>
                <w:lang w:val="en-GB"/>
              </w:rPr>
              <w:t xml:space="preserve"> - </w:t>
            </w:r>
            <w:r>
              <w:rPr>
                <w:color w:val="000000" w:themeColor="text1"/>
                <w:lang w:val="en-GB"/>
              </w:rPr>
              <w:t>12</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4</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IV.</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Programme management, monitoring and evaluation……..…………………</w:t>
            </w:r>
          </w:p>
        </w:tc>
        <w:tc>
          <w:tcPr>
            <w:tcW w:w="1240" w:type="dxa"/>
            <w:vAlign w:val="center"/>
          </w:tcPr>
          <w:p w:rsidR="00DD450B" w:rsidRPr="00073263" w:rsidRDefault="00A06616" w:rsidP="00CD6742">
            <w:pPr>
              <w:spacing w:after="60"/>
              <w:jc w:val="right"/>
              <w:rPr>
                <w:color w:val="000000" w:themeColor="text1"/>
                <w:lang w:val="en-GB"/>
              </w:rPr>
            </w:pPr>
            <w:r>
              <w:rPr>
                <w:color w:val="000000" w:themeColor="text1"/>
                <w:lang w:val="en-GB"/>
              </w:rPr>
              <w:t>13</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5</w:t>
            </w:r>
          </w:p>
        </w:tc>
      </w:tr>
      <w:tr w:rsidR="00073263" w:rsidRPr="00073263" w:rsidTr="00724EF9">
        <w:tc>
          <w:tcPr>
            <w:tcW w:w="900" w:type="dxa"/>
            <w:vAlign w:val="center"/>
          </w:tcPr>
          <w:p w:rsidR="00DD450B" w:rsidRPr="00073263" w:rsidRDefault="00DD450B" w:rsidP="00724EF9">
            <w:pPr>
              <w:spacing w:after="120"/>
              <w:rPr>
                <w:color w:val="000000" w:themeColor="text1"/>
                <w:lang w:val="en-GB"/>
              </w:rPr>
            </w:pPr>
          </w:p>
        </w:tc>
        <w:tc>
          <w:tcPr>
            <w:tcW w:w="6475" w:type="dxa"/>
            <w:vAlign w:val="center"/>
          </w:tcPr>
          <w:p w:rsidR="00DD450B" w:rsidRPr="00073263" w:rsidRDefault="00DD450B" w:rsidP="00724EF9">
            <w:pPr>
              <w:spacing w:after="120"/>
              <w:rPr>
                <w:color w:val="000000" w:themeColor="text1"/>
                <w:lang w:val="en-GB"/>
              </w:rPr>
            </w:pPr>
          </w:p>
        </w:tc>
        <w:tc>
          <w:tcPr>
            <w:tcW w:w="1240" w:type="dxa"/>
            <w:vAlign w:val="center"/>
          </w:tcPr>
          <w:p w:rsidR="00DD450B" w:rsidRPr="00073263" w:rsidRDefault="00DD450B" w:rsidP="00724EF9">
            <w:pPr>
              <w:spacing w:after="120"/>
              <w:jc w:val="right"/>
              <w:rPr>
                <w:color w:val="000000" w:themeColor="text1"/>
                <w:lang w:val="en-GB"/>
              </w:rPr>
            </w:pPr>
          </w:p>
        </w:tc>
        <w:tc>
          <w:tcPr>
            <w:tcW w:w="655" w:type="dxa"/>
            <w:vAlign w:val="center"/>
          </w:tcPr>
          <w:p w:rsidR="00DD450B" w:rsidRPr="00073263" w:rsidRDefault="00DD450B" w:rsidP="00724EF9">
            <w:pPr>
              <w:spacing w:after="120"/>
              <w:jc w:val="right"/>
              <w:rPr>
                <w:color w:val="000000" w:themeColor="text1"/>
                <w:lang w:val="en-GB"/>
              </w:rPr>
            </w:pPr>
          </w:p>
        </w:tc>
      </w:tr>
      <w:tr w:rsidR="00073263" w:rsidRPr="00073263" w:rsidTr="00724EF9">
        <w:tc>
          <w:tcPr>
            <w:tcW w:w="900" w:type="dxa"/>
            <w:vAlign w:val="center"/>
          </w:tcPr>
          <w:p w:rsidR="00DD450B" w:rsidRPr="00073263" w:rsidRDefault="00DD450B" w:rsidP="00724EF9">
            <w:pPr>
              <w:rPr>
                <w:color w:val="000000" w:themeColor="text1"/>
                <w:lang w:val="en-GB"/>
              </w:rPr>
            </w:pPr>
            <w:r w:rsidRPr="00073263">
              <w:rPr>
                <w:color w:val="000000" w:themeColor="text1"/>
                <w:lang w:val="en-GB"/>
              </w:rPr>
              <w:t xml:space="preserve">Annex </w:t>
            </w:r>
          </w:p>
        </w:tc>
        <w:tc>
          <w:tcPr>
            <w:tcW w:w="6475" w:type="dxa"/>
            <w:vAlign w:val="center"/>
          </w:tcPr>
          <w:p w:rsidR="00DD450B" w:rsidRPr="00073263" w:rsidRDefault="00DD450B" w:rsidP="00724EF9">
            <w:pPr>
              <w:rPr>
                <w:color w:val="000000" w:themeColor="text1"/>
                <w:lang w:val="en-GB"/>
              </w:rPr>
            </w:pPr>
            <w:r w:rsidRPr="00073263">
              <w:rPr>
                <w:color w:val="000000" w:themeColor="text1"/>
                <w:lang w:val="en-GB"/>
              </w:rPr>
              <w:t>Results and resources framework ……………………………………………</w:t>
            </w: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4A6ABC" w:rsidP="00724EF9">
            <w:pPr>
              <w:jc w:val="right"/>
              <w:rPr>
                <w:color w:val="000000" w:themeColor="text1"/>
                <w:lang w:val="en-GB"/>
              </w:rPr>
            </w:pPr>
            <w:r>
              <w:rPr>
                <w:color w:val="000000" w:themeColor="text1"/>
                <w:lang w:val="en-GB"/>
              </w:rPr>
              <w:t>6</w:t>
            </w:r>
          </w:p>
        </w:tc>
      </w:tr>
      <w:tr w:rsidR="00DD450B" w:rsidRPr="00073263" w:rsidTr="00724EF9">
        <w:trPr>
          <w:trHeight w:val="418"/>
        </w:trPr>
        <w:tc>
          <w:tcPr>
            <w:tcW w:w="900" w:type="dxa"/>
            <w:vAlign w:val="center"/>
          </w:tcPr>
          <w:p w:rsidR="00DD450B" w:rsidRPr="00073263" w:rsidRDefault="00DD450B" w:rsidP="00724EF9">
            <w:pPr>
              <w:rPr>
                <w:color w:val="000000" w:themeColor="text1"/>
                <w:lang w:val="en-GB"/>
              </w:rPr>
            </w:pPr>
          </w:p>
        </w:tc>
        <w:tc>
          <w:tcPr>
            <w:tcW w:w="6475" w:type="dxa"/>
            <w:vAlign w:val="center"/>
          </w:tcPr>
          <w:p w:rsidR="00DD450B" w:rsidRPr="00073263" w:rsidRDefault="00DD450B" w:rsidP="00724EF9">
            <w:pPr>
              <w:rPr>
                <w:color w:val="000000" w:themeColor="text1"/>
                <w:lang w:val="en-GB"/>
              </w:rPr>
            </w:pP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DD450B" w:rsidP="00724EF9">
            <w:pPr>
              <w:jc w:val="right"/>
              <w:rPr>
                <w:color w:val="000000" w:themeColor="text1"/>
                <w:lang w:val="en-GB"/>
              </w:rPr>
            </w:pPr>
          </w:p>
        </w:tc>
      </w:tr>
    </w:tbl>
    <w:p w:rsidR="00DD450B" w:rsidRPr="00073263" w:rsidRDefault="00DD450B" w:rsidP="00DD450B">
      <w:pPr>
        <w:tabs>
          <w:tab w:val="left" w:pos="5472"/>
        </w:tabs>
        <w:rPr>
          <w:color w:val="000000" w:themeColor="text1"/>
          <w:sz w:val="6"/>
          <w:lang w:val="en-GB"/>
        </w:rPr>
      </w:pPr>
    </w:p>
    <w:p w:rsidR="00DD450B" w:rsidRPr="00073263" w:rsidRDefault="00DD450B" w:rsidP="00DD450B">
      <w:pPr>
        <w:rPr>
          <w:color w:val="000000" w:themeColor="text1"/>
          <w:sz w:val="6"/>
          <w:lang w:val="en-GB"/>
        </w:rPr>
      </w:pPr>
    </w:p>
    <w:p w:rsidR="00785474" w:rsidRPr="00073263" w:rsidRDefault="00785474">
      <w:pPr>
        <w:rPr>
          <w:color w:val="000000" w:themeColor="text1"/>
          <w:lang w:val="en-GB"/>
        </w:rPr>
      </w:pPr>
      <w:r w:rsidRPr="00073263">
        <w:rPr>
          <w:color w:val="000000" w:themeColor="text1"/>
          <w:lang w:val="en-GB"/>
        </w:rPr>
        <w:br w:type="page"/>
      </w:r>
    </w:p>
    <w:p w:rsidR="00DD450B" w:rsidRPr="00073263" w:rsidRDefault="00DD450B" w:rsidP="00DD450B">
      <w:pPr>
        <w:pStyle w:val="Heading1"/>
        <w:numPr>
          <w:ilvl w:val="0"/>
          <w:numId w:val="8"/>
        </w:numPr>
        <w:ind w:left="1440" w:right="1426" w:hanging="360"/>
        <w:rPr>
          <w:rFonts w:ascii="Times New Roman" w:hAnsi="Times New Roman"/>
          <w:color w:val="000000" w:themeColor="text1"/>
          <w:sz w:val="22"/>
          <w:szCs w:val="22"/>
          <w:lang w:val="en-GB"/>
        </w:rPr>
      </w:pPr>
      <w:r w:rsidRPr="00073263">
        <w:rPr>
          <w:rFonts w:ascii="Times New Roman" w:hAnsi="Times New Roman"/>
          <w:color w:val="000000" w:themeColor="text1"/>
          <w:sz w:val="22"/>
          <w:szCs w:val="22"/>
          <w:lang w:val="en-GB"/>
        </w:rPr>
        <w:lastRenderedPageBreak/>
        <w:t xml:space="preserve">Situation </w:t>
      </w:r>
      <w:r w:rsidR="007814F5">
        <w:rPr>
          <w:rFonts w:ascii="Times New Roman" w:hAnsi="Times New Roman"/>
          <w:color w:val="000000" w:themeColor="text1"/>
          <w:sz w:val="22"/>
          <w:szCs w:val="22"/>
          <w:lang w:val="en-GB"/>
        </w:rPr>
        <w:t>A</w:t>
      </w:r>
      <w:r w:rsidRPr="00073263">
        <w:rPr>
          <w:rFonts w:ascii="Times New Roman" w:hAnsi="Times New Roman"/>
          <w:color w:val="000000" w:themeColor="text1"/>
          <w:sz w:val="22"/>
          <w:szCs w:val="22"/>
          <w:lang w:val="en-GB"/>
        </w:rPr>
        <w:t>nalysis</w:t>
      </w:r>
    </w:p>
    <w:p w:rsidR="00DD450B" w:rsidRPr="00073263" w:rsidRDefault="00DD450B" w:rsidP="00DD450B">
      <w:pPr>
        <w:ind w:left="1440" w:right="1426" w:hanging="360"/>
        <w:rPr>
          <w:color w:val="000000" w:themeColor="text1"/>
          <w:lang w:val="en-GB"/>
        </w:rPr>
      </w:pPr>
    </w:p>
    <w:p w:rsidR="00CB5840" w:rsidRDefault="00DD450B" w:rsidP="003C3F15">
      <w:pPr>
        <w:pStyle w:val="ListParagraph"/>
        <w:numPr>
          <w:ilvl w:val="0"/>
          <w:numId w:val="9"/>
        </w:numPr>
        <w:ind w:right="1426"/>
        <w:jc w:val="both"/>
        <w:rPr>
          <w:color w:val="000000" w:themeColor="text1"/>
          <w:lang w:val="en-GB"/>
        </w:rPr>
      </w:pPr>
      <w:r w:rsidRPr="008C368F">
        <w:rPr>
          <w:color w:val="000000" w:themeColor="text1"/>
          <w:lang w:val="en-GB"/>
        </w:rPr>
        <w:t xml:space="preserve">Although classified as an upper MIC with an estimated GNI per capita of $5,973, Namibia still faces myriad </w:t>
      </w:r>
      <w:r w:rsidR="008E78D7">
        <w:rPr>
          <w:color w:val="000000" w:themeColor="text1"/>
          <w:lang w:val="en-GB"/>
        </w:rPr>
        <w:t>i</w:t>
      </w:r>
      <w:r w:rsidR="00F26A27" w:rsidRPr="008C368F">
        <w:rPr>
          <w:color w:val="000000" w:themeColor="text1"/>
          <w:lang w:val="en-GB"/>
        </w:rPr>
        <w:t xml:space="preserve">nter-related </w:t>
      </w:r>
      <w:r w:rsidR="008F4B5F" w:rsidRPr="008C368F">
        <w:rPr>
          <w:color w:val="000000" w:themeColor="text1"/>
          <w:lang w:val="en-GB"/>
        </w:rPr>
        <w:t>development challenges</w:t>
      </w:r>
      <w:r w:rsidRPr="008C368F">
        <w:rPr>
          <w:color w:val="000000" w:themeColor="text1"/>
          <w:lang w:val="en-GB"/>
        </w:rPr>
        <w:t xml:space="preserve"> similar to those faced by LDCs.</w:t>
      </w:r>
      <w:r w:rsidR="008640C5" w:rsidRPr="008C368F">
        <w:rPr>
          <w:color w:val="000000" w:themeColor="text1"/>
          <w:lang w:val="en-GB"/>
        </w:rPr>
        <w:t xml:space="preserve"> </w:t>
      </w:r>
      <w:r w:rsidR="00F96994" w:rsidRPr="008C368F">
        <w:rPr>
          <w:color w:val="000000" w:themeColor="text1"/>
          <w:lang w:val="en-GB"/>
        </w:rPr>
        <w:t xml:space="preserve">While the country has registered strong economic </w:t>
      </w:r>
      <w:r w:rsidR="008E78D7">
        <w:rPr>
          <w:color w:val="000000" w:themeColor="text1"/>
          <w:lang w:val="en-GB"/>
        </w:rPr>
        <w:t>gains</w:t>
      </w:r>
      <w:r w:rsidR="00F96994" w:rsidRPr="008C368F">
        <w:rPr>
          <w:color w:val="000000" w:themeColor="text1"/>
          <w:lang w:val="en-GB"/>
        </w:rPr>
        <w:t xml:space="preserve"> in the recent past, </w:t>
      </w:r>
      <w:r w:rsidR="007B1B2F" w:rsidRPr="008C368F">
        <w:rPr>
          <w:lang w:val="en-GB"/>
        </w:rPr>
        <w:t xml:space="preserve">with the growth rate having improved from 3.6% 1993, peaking at 12% before declining gradually to </w:t>
      </w:r>
      <w:r w:rsidR="004B23DD" w:rsidRPr="008C368F">
        <w:rPr>
          <w:lang w:val="en-GB"/>
        </w:rPr>
        <w:t>5</w:t>
      </w:r>
      <w:r w:rsidR="007B1B2F" w:rsidRPr="008C368F">
        <w:rPr>
          <w:lang w:val="en-GB"/>
        </w:rPr>
        <w:t xml:space="preserve">% in 2004 </w:t>
      </w:r>
      <w:r w:rsidR="00F96994" w:rsidRPr="008C368F">
        <w:rPr>
          <w:color w:val="000000" w:themeColor="text1"/>
          <w:lang w:val="en-GB"/>
        </w:rPr>
        <w:t xml:space="preserve">(the only exception being a contraction </w:t>
      </w:r>
      <w:r w:rsidR="008640C5" w:rsidRPr="008C368F">
        <w:rPr>
          <w:color w:val="000000" w:themeColor="text1"/>
          <w:lang w:val="en-GB"/>
        </w:rPr>
        <w:t xml:space="preserve">by 1.1% </w:t>
      </w:r>
      <w:r w:rsidR="00F96994" w:rsidRPr="008C368F">
        <w:rPr>
          <w:color w:val="000000" w:themeColor="text1"/>
          <w:lang w:val="en-GB"/>
        </w:rPr>
        <w:t>in 2009</w:t>
      </w:r>
      <w:r w:rsidR="008640C5" w:rsidRPr="008C368F">
        <w:rPr>
          <w:color w:val="000000" w:themeColor="text1"/>
          <w:lang w:val="en-GB"/>
        </w:rPr>
        <w:t>)</w:t>
      </w:r>
      <w:r w:rsidR="00F96994" w:rsidRPr="008C368F">
        <w:rPr>
          <w:color w:val="000000" w:themeColor="text1"/>
          <w:lang w:val="en-GB"/>
        </w:rPr>
        <w:t>, the rate of unemployment currently (2012) stands at 27.4%</w:t>
      </w:r>
      <w:r w:rsidR="00F96994" w:rsidRPr="008C368F">
        <w:rPr>
          <w:rStyle w:val="FootnoteReference"/>
          <w:color w:val="000000" w:themeColor="text1"/>
          <w:lang w:val="en-GB"/>
        </w:rPr>
        <w:footnoteReference w:id="1"/>
      </w:r>
      <w:r w:rsidR="00F96994" w:rsidRPr="008C368F">
        <w:rPr>
          <w:color w:val="000000" w:themeColor="text1"/>
          <w:lang w:val="en-GB"/>
        </w:rPr>
        <w:t xml:space="preserve">. Unemployment </w:t>
      </w:r>
      <w:r w:rsidR="00CB5840" w:rsidRPr="008C368F">
        <w:rPr>
          <w:color w:val="000000" w:themeColor="text1"/>
          <w:lang w:val="en-GB"/>
        </w:rPr>
        <w:t xml:space="preserve">has distinct </w:t>
      </w:r>
      <w:r w:rsidR="007B1B2F" w:rsidRPr="008C368F">
        <w:rPr>
          <w:color w:val="000000" w:themeColor="text1"/>
          <w:lang w:val="en-GB"/>
        </w:rPr>
        <w:t>spatial</w:t>
      </w:r>
      <w:r w:rsidR="00CB5840" w:rsidRPr="008C368F">
        <w:rPr>
          <w:color w:val="000000" w:themeColor="text1"/>
          <w:lang w:val="en-GB"/>
        </w:rPr>
        <w:t xml:space="preserve"> and gender dimensions</w:t>
      </w:r>
      <w:r w:rsidR="008E78D7">
        <w:rPr>
          <w:color w:val="000000" w:themeColor="text1"/>
          <w:lang w:val="en-GB"/>
        </w:rPr>
        <w:t xml:space="preserve">. It </w:t>
      </w:r>
      <w:r w:rsidR="00F96994" w:rsidRPr="008C368F">
        <w:rPr>
          <w:color w:val="000000" w:themeColor="text1"/>
          <w:lang w:val="en-GB"/>
        </w:rPr>
        <w:t xml:space="preserve">is </w:t>
      </w:r>
      <w:r w:rsidR="00CB5840" w:rsidRPr="008C368F">
        <w:rPr>
          <w:color w:val="000000" w:themeColor="text1"/>
          <w:lang w:val="en-GB"/>
        </w:rPr>
        <w:t xml:space="preserve">higher in urban areas at </w:t>
      </w:r>
      <w:r w:rsidR="00F91101">
        <w:rPr>
          <w:color w:val="000000" w:themeColor="text1"/>
          <w:lang w:val="en-GB"/>
        </w:rPr>
        <w:t xml:space="preserve">28.3% than rural areas at 26.2%, </w:t>
      </w:r>
      <w:r w:rsidR="00F96994" w:rsidRPr="008C368F">
        <w:rPr>
          <w:color w:val="000000" w:themeColor="text1"/>
          <w:lang w:val="en-GB"/>
        </w:rPr>
        <w:t xml:space="preserve">amongst females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 xml:space="preserve">31.8% compared to 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22.9%</w:t>
      </w:r>
      <w:r w:rsidR="00F91101">
        <w:rPr>
          <w:color w:val="000000" w:themeColor="text1"/>
          <w:lang w:val="en-GB"/>
        </w:rPr>
        <w:t>,</w:t>
      </w:r>
      <w:r w:rsidR="000C5517" w:rsidRPr="008C368F">
        <w:rPr>
          <w:color w:val="000000" w:themeColor="text1"/>
          <w:lang w:val="en-GB"/>
        </w:rPr>
        <w:t xml:space="preserve"> and </w:t>
      </w:r>
      <w:r w:rsidR="00CB5840" w:rsidRPr="008C368F">
        <w:rPr>
          <w:color w:val="000000" w:themeColor="text1"/>
          <w:lang w:val="en-GB"/>
        </w:rPr>
        <w:t xml:space="preserve">also </w:t>
      </w:r>
      <w:r w:rsidR="000C5517" w:rsidRPr="008C368F">
        <w:rPr>
          <w:color w:val="000000" w:themeColor="text1"/>
          <w:lang w:val="en-GB"/>
        </w:rPr>
        <w:t>among young people aged 20-24 years and 25-29 years</w:t>
      </w:r>
      <w:r w:rsidR="007B722E" w:rsidRPr="008C368F">
        <w:rPr>
          <w:color w:val="000000" w:themeColor="text1"/>
          <w:lang w:val="en-GB"/>
        </w:rPr>
        <w:t>,</w:t>
      </w:r>
      <w:r w:rsidR="000C5517" w:rsidRPr="008C368F">
        <w:rPr>
          <w:color w:val="000000" w:themeColor="text1"/>
          <w:lang w:val="en-GB"/>
        </w:rPr>
        <w:t xml:space="preserve"> at 48.55 and 33.6%, respectively</w:t>
      </w:r>
      <w:r w:rsidR="008E78D7">
        <w:rPr>
          <w:color w:val="000000" w:themeColor="text1"/>
          <w:lang w:val="en-GB"/>
        </w:rPr>
        <w:t>.</w:t>
      </w:r>
      <w:r w:rsidR="00F96994" w:rsidRPr="008C368F">
        <w:rPr>
          <w:rStyle w:val="FootnoteReference"/>
          <w:color w:val="000000" w:themeColor="text1"/>
          <w:lang w:val="en-GB"/>
        </w:rPr>
        <w:footnoteReference w:id="2"/>
      </w:r>
      <w:r w:rsidR="008E78D7">
        <w:rPr>
          <w:color w:val="000000" w:themeColor="text1"/>
          <w:lang w:val="en-GB"/>
        </w:rPr>
        <w:t xml:space="preserve"> </w:t>
      </w:r>
      <w:r w:rsidR="00F91101">
        <w:rPr>
          <w:color w:val="000000" w:themeColor="text1"/>
          <w:lang w:val="en-GB"/>
        </w:rPr>
        <w:t xml:space="preserve"> </w:t>
      </w:r>
      <w:r w:rsidR="008E78D7">
        <w:rPr>
          <w:color w:val="000000" w:themeColor="text1"/>
          <w:lang w:val="en-GB"/>
        </w:rPr>
        <w:t>This r</w:t>
      </w:r>
      <w:r w:rsidR="00CB5840" w:rsidRPr="008C368F">
        <w:rPr>
          <w:color w:val="000000" w:themeColor="text1"/>
          <w:lang w:val="en-GB"/>
        </w:rPr>
        <w:t>eflect</w:t>
      </w:r>
      <w:r w:rsidR="008E78D7">
        <w:rPr>
          <w:color w:val="000000" w:themeColor="text1"/>
          <w:lang w:val="en-GB"/>
        </w:rPr>
        <w:t>s</w:t>
      </w:r>
      <w:r w:rsidR="008640C5" w:rsidRPr="008C368F">
        <w:rPr>
          <w:color w:val="000000" w:themeColor="text1"/>
          <w:lang w:val="en-GB"/>
        </w:rPr>
        <w:t>, in part,</w:t>
      </w:r>
      <w:r w:rsidR="00CB5840" w:rsidRPr="008C368F">
        <w:rPr>
          <w:color w:val="000000" w:themeColor="text1"/>
          <w:lang w:val="en-GB"/>
        </w:rPr>
        <w:t xml:space="preserve"> the </w:t>
      </w:r>
      <w:r w:rsidR="00F91101">
        <w:rPr>
          <w:color w:val="000000" w:themeColor="text1"/>
          <w:lang w:val="en-GB"/>
        </w:rPr>
        <w:t xml:space="preserve">inequitable </w:t>
      </w:r>
      <w:r w:rsidR="00CB5840" w:rsidRPr="008C368F">
        <w:rPr>
          <w:color w:val="000000" w:themeColor="text1"/>
          <w:lang w:val="en-GB"/>
        </w:rPr>
        <w:t xml:space="preserve">access to productive resources such </w:t>
      </w:r>
      <w:r w:rsidR="00ED2358" w:rsidRPr="008C368F">
        <w:rPr>
          <w:color w:val="000000" w:themeColor="text1"/>
          <w:lang w:val="en-GB"/>
        </w:rPr>
        <w:t xml:space="preserve">as </w:t>
      </w:r>
      <w:r w:rsidR="00CB5840" w:rsidRPr="008C368F">
        <w:rPr>
          <w:color w:val="000000" w:themeColor="text1"/>
          <w:lang w:val="en-GB"/>
        </w:rPr>
        <w:t xml:space="preserve">land and </w:t>
      </w:r>
      <w:r w:rsidR="00345071" w:rsidRPr="008C368F">
        <w:rPr>
          <w:color w:val="000000" w:themeColor="text1"/>
          <w:lang w:val="en-GB"/>
        </w:rPr>
        <w:t>capital</w:t>
      </w:r>
      <w:r w:rsidR="00F96994" w:rsidRPr="008C368F">
        <w:rPr>
          <w:color w:val="000000" w:themeColor="text1"/>
          <w:lang w:val="en-GB"/>
        </w:rPr>
        <w:t xml:space="preserve">. </w:t>
      </w:r>
      <w:r w:rsidR="008F4B5F" w:rsidRPr="008C368F">
        <w:rPr>
          <w:color w:val="000000" w:themeColor="text1"/>
          <w:lang w:val="en-GB"/>
        </w:rPr>
        <w:t>At the national level, the</w:t>
      </w:r>
      <w:r w:rsidR="00F96994" w:rsidRPr="008C368F">
        <w:rPr>
          <w:color w:val="000000" w:themeColor="text1"/>
          <w:lang w:val="en-GB"/>
        </w:rPr>
        <w:t xml:space="preserve">re has been a </w:t>
      </w:r>
      <w:r w:rsidR="000C5517" w:rsidRPr="008C368F">
        <w:rPr>
          <w:color w:val="000000" w:themeColor="text1"/>
          <w:lang w:val="en-GB"/>
        </w:rPr>
        <w:t xml:space="preserve">slowdown in the </w:t>
      </w:r>
      <w:r w:rsidR="00ED2358" w:rsidRPr="008C368F">
        <w:rPr>
          <w:color w:val="000000" w:themeColor="text1"/>
          <w:lang w:val="en-GB"/>
        </w:rPr>
        <w:t xml:space="preserve">pace of decline </w:t>
      </w:r>
      <w:r w:rsidR="000C5517" w:rsidRPr="008C368F">
        <w:rPr>
          <w:color w:val="000000" w:themeColor="text1"/>
          <w:lang w:val="en-GB"/>
        </w:rPr>
        <w:t xml:space="preserve">in </w:t>
      </w:r>
      <w:r w:rsidR="00F96994" w:rsidRPr="008C368F">
        <w:rPr>
          <w:color w:val="000000" w:themeColor="text1"/>
          <w:lang w:val="en-GB"/>
        </w:rPr>
        <w:t xml:space="preserve">the </w:t>
      </w:r>
      <w:r w:rsidR="008F4B5F" w:rsidRPr="008C368F">
        <w:rPr>
          <w:color w:val="000000" w:themeColor="text1"/>
          <w:lang w:val="en-GB"/>
        </w:rPr>
        <w:t>proportion of poor individuals</w:t>
      </w:r>
      <w:r w:rsidR="00F91101">
        <w:rPr>
          <w:color w:val="000000" w:themeColor="text1"/>
          <w:lang w:val="en-GB"/>
        </w:rPr>
        <w:t xml:space="preserve"> </w:t>
      </w:r>
      <w:r w:rsidR="008F4B5F" w:rsidRPr="008C368F">
        <w:rPr>
          <w:color w:val="000000" w:themeColor="text1"/>
          <w:lang w:val="en-GB"/>
        </w:rPr>
        <w:t xml:space="preserve">from </w:t>
      </w:r>
      <w:r w:rsidR="00482102" w:rsidRPr="008C368F">
        <w:rPr>
          <w:color w:val="000000" w:themeColor="text1"/>
          <w:lang w:val="en-GB"/>
        </w:rPr>
        <w:t>69% in 1993/94</w:t>
      </w:r>
      <w:r w:rsidR="00F91101">
        <w:rPr>
          <w:color w:val="000000" w:themeColor="text1"/>
          <w:lang w:val="en-GB"/>
        </w:rPr>
        <w:t>,</w:t>
      </w:r>
      <w:r w:rsidR="00482102" w:rsidRPr="008C368F">
        <w:rPr>
          <w:color w:val="000000" w:themeColor="text1"/>
          <w:lang w:val="en-GB"/>
        </w:rPr>
        <w:t xml:space="preserve"> to </w:t>
      </w:r>
      <w:r w:rsidR="008F4B5F" w:rsidRPr="008C368F">
        <w:rPr>
          <w:color w:val="000000" w:themeColor="text1"/>
          <w:lang w:val="en-GB"/>
        </w:rPr>
        <w:t xml:space="preserve">38% in 2004/05 </w:t>
      </w:r>
      <w:r w:rsidR="00482102" w:rsidRPr="008C368F">
        <w:rPr>
          <w:color w:val="000000" w:themeColor="text1"/>
          <w:lang w:val="en-GB"/>
        </w:rPr>
        <w:t>and</w:t>
      </w:r>
      <w:r w:rsidR="00F91101">
        <w:rPr>
          <w:color w:val="000000" w:themeColor="text1"/>
          <w:lang w:val="en-GB"/>
        </w:rPr>
        <w:t>,</w:t>
      </w:r>
      <w:r w:rsidR="00482102" w:rsidRPr="008C368F">
        <w:rPr>
          <w:color w:val="000000" w:themeColor="text1"/>
          <w:lang w:val="en-GB"/>
        </w:rPr>
        <w:t xml:space="preserve"> more recently</w:t>
      </w:r>
      <w:r w:rsidR="00F96994" w:rsidRPr="008C368F">
        <w:rPr>
          <w:color w:val="000000" w:themeColor="text1"/>
          <w:lang w:val="en-GB"/>
        </w:rPr>
        <w:t xml:space="preserve">, </w:t>
      </w:r>
      <w:r w:rsidR="008F4B5F" w:rsidRPr="008C368F">
        <w:rPr>
          <w:color w:val="000000" w:themeColor="text1"/>
          <w:lang w:val="en-GB"/>
        </w:rPr>
        <w:t>to 29% in 2009/10</w:t>
      </w:r>
      <w:r w:rsidR="00482102" w:rsidRPr="008C368F">
        <w:rPr>
          <w:rStyle w:val="FootnoteReference"/>
          <w:color w:val="000000" w:themeColor="text1"/>
          <w:lang w:val="en-GB"/>
        </w:rPr>
        <w:footnoteReference w:id="3"/>
      </w:r>
      <w:r w:rsidR="008F4B5F" w:rsidRPr="008C368F">
        <w:rPr>
          <w:color w:val="000000" w:themeColor="text1"/>
          <w:lang w:val="en-GB"/>
        </w:rPr>
        <w:t xml:space="preserve">. </w:t>
      </w:r>
      <w:r w:rsidRPr="008C368F">
        <w:rPr>
          <w:color w:val="000000" w:themeColor="text1"/>
          <w:lang w:val="en-GB"/>
        </w:rPr>
        <w:t xml:space="preserve">The foregoing partly explain the </w:t>
      </w:r>
      <w:r w:rsidR="00632408" w:rsidRPr="008C368F">
        <w:rPr>
          <w:color w:val="000000" w:themeColor="text1"/>
          <w:lang w:val="en-GB"/>
        </w:rPr>
        <w:t xml:space="preserve">marginal decline in </w:t>
      </w:r>
      <w:r w:rsidR="006C5F6C" w:rsidRPr="008C368F">
        <w:rPr>
          <w:color w:val="000000" w:themeColor="text1"/>
          <w:lang w:val="en-GB"/>
        </w:rPr>
        <w:t xml:space="preserve">Gini-Coefficient </w:t>
      </w:r>
      <w:r w:rsidR="00632408" w:rsidRPr="008C368F">
        <w:rPr>
          <w:color w:val="000000" w:themeColor="text1"/>
          <w:lang w:val="en-GB"/>
        </w:rPr>
        <w:t xml:space="preserve">from 0.6455 in 1993/94 to 0.6003 in 2003/04 and to </w:t>
      </w:r>
      <w:r w:rsidRPr="008C368F">
        <w:rPr>
          <w:color w:val="000000" w:themeColor="text1"/>
          <w:lang w:val="en-GB"/>
        </w:rPr>
        <w:t>0.5971</w:t>
      </w:r>
      <w:r w:rsidR="00632408" w:rsidRPr="008C368F">
        <w:rPr>
          <w:color w:val="000000" w:themeColor="text1"/>
          <w:lang w:val="en-GB"/>
        </w:rPr>
        <w:t xml:space="preserve"> in </w:t>
      </w:r>
      <w:r w:rsidRPr="008C368F">
        <w:rPr>
          <w:color w:val="000000" w:themeColor="text1"/>
          <w:lang w:val="en-GB"/>
        </w:rPr>
        <w:t>2009/10</w:t>
      </w:r>
      <w:r w:rsidR="00F96994" w:rsidRPr="008C368F">
        <w:rPr>
          <w:rStyle w:val="FootnoteReference"/>
          <w:color w:val="000000" w:themeColor="text1"/>
          <w:lang w:val="en-GB"/>
        </w:rPr>
        <w:footnoteReference w:id="4"/>
      </w:r>
      <w:r w:rsidRPr="008C368F">
        <w:rPr>
          <w:color w:val="000000" w:themeColor="text1"/>
          <w:lang w:val="en-GB"/>
        </w:rPr>
        <w:t xml:space="preserve"> and </w:t>
      </w:r>
      <w:r w:rsidR="00632408" w:rsidRPr="008C368F">
        <w:rPr>
          <w:color w:val="000000" w:themeColor="text1"/>
          <w:lang w:val="en-GB"/>
        </w:rPr>
        <w:t xml:space="preserve">a low </w:t>
      </w:r>
      <w:r w:rsidRPr="008C368F">
        <w:rPr>
          <w:color w:val="000000" w:themeColor="text1"/>
          <w:lang w:val="en-GB"/>
        </w:rPr>
        <w:t>HDI ranking of 128 out of 18</w:t>
      </w:r>
      <w:r w:rsidR="00F311C9" w:rsidRPr="008C368F">
        <w:rPr>
          <w:color w:val="000000" w:themeColor="text1"/>
          <w:lang w:val="en-GB"/>
        </w:rPr>
        <w:t>7</w:t>
      </w:r>
      <w:r w:rsidRPr="008C368F">
        <w:rPr>
          <w:color w:val="000000" w:themeColor="text1"/>
          <w:lang w:val="en-GB"/>
        </w:rPr>
        <w:t xml:space="preserve"> countries in 2012</w:t>
      </w:r>
      <w:r w:rsidR="003C3F15">
        <w:rPr>
          <w:color w:val="000000" w:themeColor="text1"/>
          <w:lang w:val="en-GB"/>
        </w:rPr>
        <w:t>.</w:t>
      </w:r>
      <w:r w:rsidR="00EC2732" w:rsidRPr="008C368F">
        <w:rPr>
          <w:rStyle w:val="FootnoteReference"/>
          <w:color w:val="000000" w:themeColor="text1"/>
          <w:lang w:val="en-GB"/>
        </w:rPr>
        <w:footnoteReference w:id="5"/>
      </w:r>
    </w:p>
    <w:p w:rsidR="003C3F15" w:rsidRPr="008C368F" w:rsidRDefault="003C3F15" w:rsidP="003C3F15">
      <w:pPr>
        <w:pStyle w:val="ListParagraph"/>
        <w:ind w:left="1440" w:right="1426"/>
        <w:jc w:val="both"/>
        <w:rPr>
          <w:color w:val="000000" w:themeColor="text1"/>
          <w:lang w:val="en-GB"/>
        </w:rPr>
      </w:pPr>
    </w:p>
    <w:p w:rsidR="00601905" w:rsidRPr="008C368F" w:rsidRDefault="00482102" w:rsidP="003C3F15">
      <w:pPr>
        <w:pStyle w:val="ListParagraph"/>
        <w:numPr>
          <w:ilvl w:val="0"/>
          <w:numId w:val="9"/>
        </w:numPr>
        <w:ind w:right="1426"/>
        <w:jc w:val="both"/>
        <w:rPr>
          <w:color w:val="000000" w:themeColor="text1"/>
          <w:lang w:val="en-GB"/>
        </w:rPr>
      </w:pPr>
      <w:r w:rsidRPr="008C368F">
        <w:rPr>
          <w:color w:val="000000" w:themeColor="text1"/>
          <w:lang w:val="en-GB"/>
        </w:rPr>
        <w:t>Namibia’s small</w:t>
      </w:r>
      <w:r w:rsidR="00A27B05" w:rsidRPr="008C368F">
        <w:rPr>
          <w:color w:val="000000" w:themeColor="text1"/>
          <w:lang w:val="en-GB"/>
        </w:rPr>
        <w:t xml:space="preserve"> and </w:t>
      </w:r>
      <w:r w:rsidRPr="008C368F">
        <w:rPr>
          <w:color w:val="000000" w:themeColor="text1"/>
          <w:lang w:val="en-GB"/>
        </w:rPr>
        <w:t>open economy is largely dependent on</w:t>
      </w:r>
      <w:r w:rsidR="007D4CCF" w:rsidRPr="008C368F">
        <w:rPr>
          <w:color w:val="000000" w:themeColor="text1"/>
          <w:lang w:val="en-GB"/>
        </w:rPr>
        <w:t xml:space="preserve"> the</w:t>
      </w:r>
      <w:r w:rsidRPr="008C368F">
        <w:rPr>
          <w:color w:val="000000" w:themeColor="text1"/>
          <w:lang w:val="en-GB"/>
        </w:rPr>
        <w:t xml:space="preserve"> extracti</w:t>
      </w:r>
      <w:r w:rsidR="006C5F6C" w:rsidRPr="008C368F">
        <w:rPr>
          <w:color w:val="000000" w:themeColor="text1"/>
          <w:lang w:val="en-GB"/>
        </w:rPr>
        <w:t xml:space="preserve">ve </w:t>
      </w:r>
      <w:r w:rsidR="00D00AEE" w:rsidRPr="008C368F">
        <w:rPr>
          <w:color w:val="000000" w:themeColor="text1"/>
          <w:lang w:val="en-GB"/>
        </w:rPr>
        <w:t>i</w:t>
      </w:r>
      <w:r w:rsidR="006C5F6C" w:rsidRPr="008C368F">
        <w:rPr>
          <w:color w:val="000000" w:themeColor="text1"/>
          <w:lang w:val="en-GB"/>
        </w:rPr>
        <w:t>ndustry</w:t>
      </w:r>
      <w:r w:rsidR="00601905" w:rsidRPr="008C368F">
        <w:rPr>
          <w:color w:val="000000" w:themeColor="text1"/>
          <w:lang w:val="en-GB"/>
        </w:rPr>
        <w:t>, and limited processing</w:t>
      </w:r>
      <w:r w:rsidRPr="008C368F">
        <w:rPr>
          <w:color w:val="000000" w:themeColor="text1"/>
          <w:lang w:val="en-GB"/>
        </w:rPr>
        <w:t xml:space="preserve"> of minerals for export, as well as receipts from international trade through the Southern Africa Customs Union (SACU).  The primary industry’s contribution to GDP </w:t>
      </w:r>
      <w:r w:rsidR="00EC2732" w:rsidRPr="008C368F">
        <w:rPr>
          <w:color w:val="000000" w:themeColor="text1"/>
          <w:lang w:val="en-GB"/>
        </w:rPr>
        <w:t xml:space="preserve">however, </w:t>
      </w:r>
      <w:r w:rsidRPr="008C368F">
        <w:rPr>
          <w:color w:val="000000" w:themeColor="text1"/>
          <w:lang w:val="en-GB"/>
        </w:rPr>
        <w:t>is very volatile. Mining and quarrying currently (2012) account for 11.5% of GDP, representing a rise from the 2011 figure of 9.5%, but significantly lower than the 2008 (pre-global economic crisis) figure of 16.1%</w:t>
      </w:r>
      <w:r w:rsidR="007A6D3A" w:rsidRPr="008C368F">
        <w:rPr>
          <w:rStyle w:val="FootnoteReference"/>
          <w:color w:val="000000" w:themeColor="text1"/>
          <w:lang w:val="en-GB"/>
        </w:rPr>
        <w:footnoteReference w:id="6"/>
      </w:r>
      <w:r w:rsidRPr="008C368F">
        <w:rPr>
          <w:color w:val="000000" w:themeColor="text1"/>
          <w:lang w:val="en-GB"/>
        </w:rPr>
        <w:t>.  Namibia is also dependent on climate</w:t>
      </w:r>
      <w:r w:rsidR="003C3F15">
        <w:rPr>
          <w:color w:val="000000" w:themeColor="text1"/>
          <w:lang w:val="en-GB"/>
        </w:rPr>
        <w:t>-</w:t>
      </w:r>
      <w:r w:rsidRPr="008C368F">
        <w:rPr>
          <w:color w:val="000000" w:themeColor="text1"/>
          <w:lang w:val="en-GB"/>
        </w:rPr>
        <w:t xml:space="preserve">sensitive natural resource-based sectors such as agriculture, fisheries and tourism.  </w:t>
      </w:r>
      <w:r w:rsidR="007B1B2F" w:rsidRPr="008C368F">
        <w:rPr>
          <w:color w:val="000000" w:themeColor="text1"/>
          <w:lang w:val="en-GB"/>
        </w:rPr>
        <w:t xml:space="preserve">It is against this backdrop that the Government, in 2011, took a decision to prioritize long-term economic development and focus the </w:t>
      </w:r>
      <w:r w:rsidR="00601905" w:rsidRPr="008C368F">
        <w:rPr>
          <w:color w:val="000000" w:themeColor="text1"/>
          <w:lang w:val="en-GB"/>
        </w:rPr>
        <w:t>current fourth National Development Plan (</w:t>
      </w:r>
      <w:r w:rsidR="007B1B2F" w:rsidRPr="008C368F">
        <w:rPr>
          <w:color w:val="000000" w:themeColor="text1"/>
          <w:lang w:val="en-GB"/>
        </w:rPr>
        <w:t>NDP 4</w:t>
      </w:r>
      <w:r w:rsidR="00601905" w:rsidRPr="008C368F">
        <w:rPr>
          <w:color w:val="000000" w:themeColor="text1"/>
          <w:lang w:val="en-GB"/>
        </w:rPr>
        <w:t>)</w:t>
      </w:r>
      <w:r w:rsidR="007B1B2F" w:rsidRPr="008C368F">
        <w:rPr>
          <w:color w:val="000000" w:themeColor="text1"/>
          <w:lang w:val="en-GB"/>
        </w:rPr>
        <w:t xml:space="preserve"> on high and sustainable growth</w:t>
      </w:r>
      <w:r w:rsidR="00601905" w:rsidRPr="008C368F">
        <w:rPr>
          <w:color w:val="000000" w:themeColor="text1"/>
          <w:lang w:val="en-GB"/>
        </w:rPr>
        <w:t>;</w:t>
      </w:r>
      <w:r w:rsidR="007B1B2F" w:rsidRPr="008C368F">
        <w:rPr>
          <w:color w:val="000000" w:themeColor="text1"/>
          <w:lang w:val="en-GB"/>
        </w:rPr>
        <w:t xml:space="preserve"> employment creation</w:t>
      </w:r>
      <w:r w:rsidR="00601905" w:rsidRPr="008C368F">
        <w:rPr>
          <w:color w:val="000000" w:themeColor="text1"/>
          <w:lang w:val="en-GB"/>
        </w:rPr>
        <w:t>;</w:t>
      </w:r>
      <w:r w:rsidR="007B1B2F" w:rsidRPr="008C368F">
        <w:rPr>
          <w:color w:val="000000" w:themeColor="text1"/>
          <w:lang w:val="en-GB"/>
        </w:rPr>
        <w:t xml:space="preserve"> and reduction in income inequality.</w:t>
      </w:r>
    </w:p>
    <w:p w:rsidR="00601905" w:rsidRPr="008C368F" w:rsidRDefault="00601905" w:rsidP="003C3F15">
      <w:pPr>
        <w:pStyle w:val="ListParagraph"/>
        <w:ind w:left="1440" w:right="1426"/>
        <w:jc w:val="both"/>
        <w:rPr>
          <w:color w:val="000000" w:themeColor="text1"/>
          <w:lang w:val="en-GB"/>
        </w:rPr>
      </w:pPr>
    </w:p>
    <w:p w:rsidR="00601905" w:rsidRPr="008C368F" w:rsidRDefault="00601905" w:rsidP="003C3F15">
      <w:pPr>
        <w:pStyle w:val="ListParagraph"/>
        <w:numPr>
          <w:ilvl w:val="0"/>
          <w:numId w:val="9"/>
        </w:numPr>
        <w:ind w:right="1426"/>
        <w:jc w:val="both"/>
        <w:rPr>
          <w:color w:val="000000" w:themeColor="text1"/>
          <w:lang w:val="en-GB"/>
        </w:rPr>
      </w:pPr>
      <w:r w:rsidRPr="008C368F">
        <w:rPr>
          <w:color w:val="000000" w:themeColor="text1"/>
          <w:lang w:val="en-GB"/>
        </w:rPr>
        <w:t xml:space="preserve">Namibia enjoys a stable political environment, with </w:t>
      </w:r>
      <w:r w:rsidR="002619A1">
        <w:rPr>
          <w:color w:val="000000" w:themeColor="text1"/>
          <w:lang w:val="en-GB"/>
        </w:rPr>
        <w:t xml:space="preserve">elections held every five years which are judged by observers to be </w:t>
      </w:r>
      <w:r w:rsidRPr="008C368F">
        <w:rPr>
          <w:color w:val="000000" w:themeColor="text1"/>
          <w:lang w:val="en-GB"/>
        </w:rPr>
        <w:t xml:space="preserve">fairly credible, even though the last </w:t>
      </w:r>
      <w:r w:rsidR="002A042D" w:rsidRPr="008C368F">
        <w:rPr>
          <w:color w:val="000000" w:themeColor="text1"/>
          <w:lang w:val="en-GB"/>
        </w:rPr>
        <w:t>P</w:t>
      </w:r>
      <w:r w:rsidRPr="008C368F">
        <w:rPr>
          <w:color w:val="000000" w:themeColor="text1"/>
          <w:lang w:val="en-GB"/>
        </w:rPr>
        <w:t>residential</w:t>
      </w:r>
      <w:r w:rsidR="002A042D" w:rsidRPr="008C368F">
        <w:rPr>
          <w:color w:val="000000" w:themeColor="text1"/>
          <w:lang w:val="en-GB"/>
        </w:rPr>
        <w:t xml:space="preserve"> and National Assembly </w:t>
      </w:r>
      <w:r w:rsidRPr="008C368F">
        <w:rPr>
          <w:color w:val="000000" w:themeColor="text1"/>
          <w:lang w:val="en-GB"/>
        </w:rPr>
        <w:t xml:space="preserve">elections held in </w:t>
      </w:r>
      <w:r w:rsidR="002A042D" w:rsidRPr="008C368F">
        <w:rPr>
          <w:color w:val="000000" w:themeColor="text1"/>
          <w:lang w:val="en-GB"/>
        </w:rPr>
        <w:t xml:space="preserve">2004 and </w:t>
      </w:r>
      <w:r w:rsidRPr="008C368F">
        <w:rPr>
          <w:color w:val="000000" w:themeColor="text1"/>
          <w:lang w:val="en-GB"/>
        </w:rPr>
        <w:t>2009 were contested by the opposition parties. The Electoral Act, promulgated in 1992, has been amended many times</w:t>
      </w:r>
      <w:r w:rsidR="00111AAF" w:rsidRPr="008C368F">
        <w:rPr>
          <w:color w:val="000000" w:themeColor="text1"/>
          <w:lang w:val="en-GB"/>
        </w:rPr>
        <w:t>,</w:t>
      </w:r>
      <w:r w:rsidRPr="008C368F">
        <w:rPr>
          <w:color w:val="000000" w:themeColor="text1"/>
          <w:lang w:val="en-GB"/>
        </w:rPr>
        <w:t xml:space="preserve"> leading to contradictions in the Act and limiting its effectiveness in addressing electoral disputes. </w:t>
      </w:r>
      <w:r w:rsidR="00FA713F" w:rsidRPr="008C368F">
        <w:rPr>
          <w:color w:val="000000" w:themeColor="text1"/>
          <w:lang w:val="en-GB"/>
        </w:rPr>
        <w:t>Parliament performs its legislation and representation roles, but requires more support in oversight</w:t>
      </w:r>
      <w:r w:rsidRPr="008C368F">
        <w:rPr>
          <w:color w:val="000000" w:themeColor="text1"/>
          <w:lang w:val="en-GB"/>
        </w:rPr>
        <w:t>.</w:t>
      </w:r>
      <w:r w:rsidR="002A042D" w:rsidRPr="008C368F">
        <w:rPr>
          <w:color w:val="000000" w:themeColor="text1"/>
          <w:lang w:val="en-GB"/>
        </w:rPr>
        <w:t xml:space="preserve">  A systematic framework is required to address the human rights challenges, highlighted in the </w:t>
      </w:r>
      <w:r w:rsidR="00EF34F8">
        <w:rPr>
          <w:color w:val="000000" w:themeColor="text1"/>
          <w:lang w:val="en-GB"/>
        </w:rPr>
        <w:t xml:space="preserve">2011 </w:t>
      </w:r>
      <w:r w:rsidR="002A042D" w:rsidRPr="008C368F">
        <w:rPr>
          <w:color w:val="000000" w:themeColor="text1"/>
          <w:lang w:val="en-GB"/>
        </w:rPr>
        <w:t xml:space="preserve">UPR recommendations and the Namibia human rights baseline study. </w:t>
      </w:r>
      <w:r w:rsidRPr="008C368F">
        <w:rPr>
          <w:color w:val="000000" w:themeColor="text1"/>
          <w:lang w:val="en-GB"/>
        </w:rPr>
        <w:t xml:space="preserve"> Furthermore, </w:t>
      </w:r>
      <w:r w:rsidRPr="008C368F">
        <w:rPr>
          <w:iCs/>
          <w:color w:val="000000" w:themeColor="text1"/>
          <w:lang w:val="en-GB"/>
        </w:rPr>
        <w:t xml:space="preserve">increasing </w:t>
      </w:r>
      <w:r w:rsidR="002A042D" w:rsidRPr="008C368F">
        <w:rPr>
          <w:iCs/>
          <w:color w:val="000000" w:themeColor="text1"/>
          <w:lang w:val="en-GB"/>
        </w:rPr>
        <w:t xml:space="preserve">incidences and </w:t>
      </w:r>
      <w:r w:rsidRPr="008C368F">
        <w:rPr>
          <w:iCs/>
          <w:color w:val="000000" w:themeColor="text1"/>
          <w:lang w:val="en-GB"/>
        </w:rPr>
        <w:t xml:space="preserve">public perception of corrupt practices threaten </w:t>
      </w:r>
      <w:r w:rsidR="002A042D" w:rsidRPr="008C368F">
        <w:rPr>
          <w:iCs/>
          <w:color w:val="000000" w:themeColor="text1"/>
          <w:lang w:val="en-GB"/>
        </w:rPr>
        <w:t xml:space="preserve">good governance and </w:t>
      </w:r>
      <w:r w:rsidRPr="008C368F">
        <w:rPr>
          <w:iCs/>
          <w:color w:val="000000" w:themeColor="text1"/>
          <w:lang w:val="en-GB"/>
        </w:rPr>
        <w:t>undermine confidence in</w:t>
      </w:r>
      <w:r w:rsidR="002A042D" w:rsidRPr="008C368F">
        <w:rPr>
          <w:iCs/>
          <w:color w:val="000000" w:themeColor="text1"/>
          <w:lang w:val="en-GB"/>
        </w:rPr>
        <w:t xml:space="preserve"> the management of </w:t>
      </w:r>
      <w:r w:rsidRPr="008C368F">
        <w:rPr>
          <w:iCs/>
          <w:color w:val="000000" w:themeColor="text1"/>
          <w:lang w:val="en-GB"/>
        </w:rPr>
        <w:t>public</w:t>
      </w:r>
      <w:r w:rsidR="002A042D" w:rsidRPr="008C368F">
        <w:rPr>
          <w:iCs/>
          <w:color w:val="000000" w:themeColor="text1"/>
          <w:lang w:val="en-GB"/>
        </w:rPr>
        <w:t xml:space="preserve"> affairs.</w:t>
      </w:r>
      <w:r w:rsidRPr="008C368F">
        <w:rPr>
          <w:iCs/>
          <w:color w:val="000000" w:themeColor="text1"/>
          <w:lang w:val="en-GB"/>
        </w:rPr>
        <w:t xml:space="preserve"> </w:t>
      </w:r>
    </w:p>
    <w:p w:rsidR="003C3F15" w:rsidRDefault="003C3F15" w:rsidP="003C3F15">
      <w:pPr>
        <w:pStyle w:val="ListParagraph"/>
        <w:ind w:left="1440" w:right="1426"/>
        <w:jc w:val="both"/>
        <w:rPr>
          <w:color w:val="000000" w:themeColor="text1"/>
          <w:lang w:val="en-GB"/>
        </w:rPr>
      </w:pPr>
    </w:p>
    <w:p w:rsidR="00DD450B" w:rsidRPr="008C368F" w:rsidRDefault="00DD450B" w:rsidP="00601905">
      <w:pPr>
        <w:pStyle w:val="ListParagraph"/>
        <w:numPr>
          <w:ilvl w:val="0"/>
          <w:numId w:val="9"/>
        </w:numPr>
        <w:ind w:right="1426"/>
        <w:jc w:val="both"/>
        <w:rPr>
          <w:color w:val="000000" w:themeColor="text1"/>
          <w:lang w:val="en-GB"/>
        </w:rPr>
      </w:pPr>
      <w:r w:rsidRPr="008C368F">
        <w:rPr>
          <w:color w:val="000000" w:themeColor="text1"/>
          <w:lang w:val="en-GB"/>
        </w:rPr>
        <w:t>While the country has achieved gender parity in education at all levels</w:t>
      </w:r>
      <w:r w:rsidR="00345071" w:rsidRPr="008C368F">
        <w:rPr>
          <w:color w:val="000000" w:themeColor="text1"/>
          <w:lang w:val="en-GB"/>
        </w:rPr>
        <w:t xml:space="preserve"> and</w:t>
      </w:r>
      <w:r w:rsidRPr="008C368F">
        <w:rPr>
          <w:color w:val="000000" w:themeColor="text1"/>
          <w:lang w:val="en-GB"/>
        </w:rPr>
        <w:t xml:space="preserve"> the </w:t>
      </w:r>
      <w:r w:rsidR="00345071" w:rsidRPr="008C368F">
        <w:rPr>
          <w:color w:val="000000" w:themeColor="text1"/>
          <w:lang w:val="en-GB"/>
        </w:rPr>
        <w:t>share</w:t>
      </w:r>
      <w:r w:rsidRPr="008C368F">
        <w:rPr>
          <w:color w:val="000000" w:themeColor="text1"/>
          <w:lang w:val="en-GB"/>
        </w:rPr>
        <w:t xml:space="preserve"> of women </w:t>
      </w:r>
      <w:r w:rsidR="00345071" w:rsidRPr="008C368F">
        <w:rPr>
          <w:color w:val="000000" w:themeColor="text1"/>
          <w:lang w:val="en-GB"/>
        </w:rPr>
        <w:t xml:space="preserve">in wage employment in the </w:t>
      </w:r>
      <w:r w:rsidRPr="008C368F">
        <w:rPr>
          <w:color w:val="000000" w:themeColor="text1"/>
          <w:lang w:val="en-GB"/>
        </w:rPr>
        <w:t>non-agricultur</w:t>
      </w:r>
      <w:r w:rsidR="002E7CCA" w:rsidRPr="008C368F">
        <w:rPr>
          <w:color w:val="000000" w:themeColor="text1"/>
          <w:lang w:val="en-GB"/>
        </w:rPr>
        <w:t xml:space="preserve">al </w:t>
      </w:r>
      <w:r w:rsidRPr="008C368F">
        <w:rPr>
          <w:color w:val="000000" w:themeColor="text1"/>
          <w:lang w:val="en-GB"/>
        </w:rPr>
        <w:t>sector</w:t>
      </w:r>
      <w:r w:rsidR="002E7CCA" w:rsidRPr="008C368F">
        <w:rPr>
          <w:color w:val="000000" w:themeColor="text1"/>
          <w:lang w:val="en-GB"/>
        </w:rPr>
        <w:t>s</w:t>
      </w:r>
      <w:r w:rsidRPr="008C368F">
        <w:rPr>
          <w:color w:val="000000" w:themeColor="text1"/>
          <w:lang w:val="en-GB"/>
        </w:rPr>
        <w:t xml:space="preserve"> rose from 39% in 1992 to 4</w:t>
      </w:r>
      <w:r w:rsidR="00345071" w:rsidRPr="008C368F">
        <w:rPr>
          <w:color w:val="000000" w:themeColor="text1"/>
          <w:lang w:val="en-GB"/>
        </w:rPr>
        <w:t>8</w:t>
      </w:r>
      <w:r w:rsidRPr="008C368F">
        <w:rPr>
          <w:color w:val="000000" w:themeColor="text1"/>
          <w:lang w:val="en-GB"/>
        </w:rPr>
        <w:t>% in 20</w:t>
      </w:r>
      <w:r w:rsidR="00345071" w:rsidRPr="008C368F">
        <w:rPr>
          <w:color w:val="000000" w:themeColor="text1"/>
          <w:lang w:val="en-GB"/>
        </w:rPr>
        <w:t>12</w:t>
      </w:r>
      <w:r w:rsidR="00070FF4" w:rsidRPr="008C368F">
        <w:rPr>
          <w:rStyle w:val="FootnoteReference"/>
          <w:color w:val="000000" w:themeColor="text1"/>
          <w:lang w:val="en-GB"/>
        </w:rPr>
        <w:footnoteReference w:id="7"/>
      </w:r>
      <w:r w:rsidRPr="008C368F">
        <w:rPr>
          <w:color w:val="000000" w:themeColor="text1"/>
          <w:lang w:val="en-GB"/>
        </w:rPr>
        <w:t xml:space="preserve">, the </w:t>
      </w:r>
      <w:r w:rsidR="00B22E57" w:rsidRPr="008C368F">
        <w:rPr>
          <w:color w:val="000000" w:themeColor="text1"/>
          <w:lang w:val="en-GB"/>
        </w:rPr>
        <w:t xml:space="preserve">per capita </w:t>
      </w:r>
      <w:r w:rsidR="00CB7235" w:rsidRPr="008C368F">
        <w:rPr>
          <w:color w:val="000000" w:themeColor="text1"/>
          <w:lang w:val="en-GB"/>
        </w:rPr>
        <w:t>income of</w:t>
      </w:r>
      <w:r w:rsidR="00B22E57" w:rsidRPr="008C368F">
        <w:rPr>
          <w:color w:val="000000" w:themeColor="text1"/>
          <w:lang w:val="en-GB"/>
        </w:rPr>
        <w:t xml:space="preserve"> </w:t>
      </w:r>
      <w:r w:rsidRPr="008C368F">
        <w:rPr>
          <w:color w:val="000000" w:themeColor="text1"/>
          <w:lang w:val="en-GB"/>
        </w:rPr>
        <w:t>female-headed households</w:t>
      </w:r>
      <w:r w:rsidR="00B22E57" w:rsidRPr="008C368F">
        <w:rPr>
          <w:color w:val="000000" w:themeColor="text1"/>
          <w:lang w:val="en-GB"/>
        </w:rPr>
        <w:t>,</w:t>
      </w:r>
      <w:r w:rsidRPr="008C368F">
        <w:rPr>
          <w:color w:val="000000" w:themeColor="text1"/>
          <w:lang w:val="en-GB"/>
        </w:rPr>
        <w:t xml:space="preserve"> </w:t>
      </w:r>
      <w:r w:rsidR="00B22E57" w:rsidRPr="008C368F">
        <w:rPr>
          <w:color w:val="000000" w:themeColor="text1"/>
          <w:lang w:val="en-GB"/>
        </w:rPr>
        <w:t xml:space="preserve">which account for </w:t>
      </w:r>
      <w:r w:rsidRPr="008C368F">
        <w:rPr>
          <w:color w:val="000000" w:themeColor="text1"/>
          <w:lang w:val="en-GB"/>
        </w:rPr>
        <w:t>4</w:t>
      </w:r>
      <w:r w:rsidR="00B22E57" w:rsidRPr="008C368F">
        <w:rPr>
          <w:color w:val="000000" w:themeColor="text1"/>
          <w:lang w:val="en-GB"/>
        </w:rPr>
        <w:t>4</w:t>
      </w:r>
      <w:r w:rsidRPr="008C368F">
        <w:rPr>
          <w:color w:val="000000" w:themeColor="text1"/>
          <w:lang w:val="en-GB"/>
        </w:rPr>
        <w:t xml:space="preserve">% of all Namibian households, </w:t>
      </w:r>
      <w:r w:rsidR="00B22E57" w:rsidRPr="008C368F">
        <w:rPr>
          <w:color w:val="000000" w:themeColor="text1"/>
          <w:lang w:val="en-GB"/>
        </w:rPr>
        <w:t>is currently estimated to be</w:t>
      </w:r>
      <w:r w:rsidR="00C87666" w:rsidRPr="008C368F">
        <w:rPr>
          <w:color w:val="000000" w:themeColor="text1"/>
          <w:lang w:val="en-GB"/>
        </w:rPr>
        <w:t>,</w:t>
      </w:r>
      <w:r w:rsidR="00B22E57" w:rsidRPr="008C368F">
        <w:rPr>
          <w:color w:val="000000" w:themeColor="text1"/>
          <w:lang w:val="en-GB"/>
        </w:rPr>
        <w:t xml:space="preserve"> </w:t>
      </w:r>
      <w:r w:rsidRPr="008C368F">
        <w:rPr>
          <w:color w:val="000000" w:themeColor="text1"/>
          <w:lang w:val="en-GB"/>
        </w:rPr>
        <w:t>on average</w:t>
      </w:r>
      <w:r w:rsidR="00C87666" w:rsidRPr="008C368F">
        <w:rPr>
          <w:color w:val="000000" w:themeColor="text1"/>
          <w:lang w:val="en-GB"/>
        </w:rPr>
        <w:t>,</w:t>
      </w:r>
      <w:r w:rsidRPr="008C368F">
        <w:rPr>
          <w:color w:val="000000" w:themeColor="text1"/>
          <w:lang w:val="en-GB"/>
        </w:rPr>
        <w:t xml:space="preserve"> 40% lower than </w:t>
      </w:r>
      <w:r w:rsidR="002E7CCA" w:rsidRPr="008C368F">
        <w:rPr>
          <w:color w:val="000000" w:themeColor="text1"/>
          <w:lang w:val="en-GB"/>
        </w:rPr>
        <w:t>of</w:t>
      </w:r>
      <w:r w:rsidRPr="008C368F">
        <w:rPr>
          <w:color w:val="000000" w:themeColor="text1"/>
          <w:lang w:val="en-GB"/>
        </w:rPr>
        <w:t xml:space="preserve"> male-headed households</w:t>
      </w:r>
      <w:r w:rsidR="00345071" w:rsidRPr="008C368F">
        <w:rPr>
          <w:rStyle w:val="FootnoteReference"/>
          <w:color w:val="000000" w:themeColor="text1"/>
          <w:lang w:val="en-GB"/>
        </w:rPr>
        <w:footnoteReference w:id="8"/>
      </w:r>
      <w:r w:rsidRPr="008C368F">
        <w:rPr>
          <w:color w:val="000000" w:themeColor="text1"/>
          <w:lang w:val="en-GB"/>
        </w:rPr>
        <w:t xml:space="preserve">. </w:t>
      </w:r>
      <w:r w:rsidR="00C87666" w:rsidRPr="008C368F">
        <w:rPr>
          <w:color w:val="000000" w:themeColor="text1"/>
          <w:lang w:val="en-GB"/>
        </w:rPr>
        <w:t xml:space="preserve"> G</w:t>
      </w:r>
      <w:r w:rsidRPr="008C368F">
        <w:rPr>
          <w:color w:val="000000" w:themeColor="text1"/>
          <w:lang w:val="en-GB"/>
        </w:rPr>
        <w:t xml:space="preserve">ender-based violence </w:t>
      </w:r>
      <w:r w:rsidR="00C87666" w:rsidRPr="008C368F">
        <w:rPr>
          <w:color w:val="000000" w:themeColor="text1"/>
          <w:lang w:val="en-GB"/>
        </w:rPr>
        <w:t xml:space="preserve">(GBV) </w:t>
      </w:r>
      <w:r w:rsidRPr="008C368F">
        <w:rPr>
          <w:color w:val="000000" w:themeColor="text1"/>
          <w:lang w:val="en-GB"/>
        </w:rPr>
        <w:t xml:space="preserve">is almost pervasive with </w:t>
      </w:r>
      <w:r w:rsidR="00A25DEE" w:rsidRPr="008C368F">
        <w:rPr>
          <w:color w:val="000000" w:themeColor="text1"/>
          <w:lang w:val="en-GB"/>
        </w:rPr>
        <w:t xml:space="preserve">some </w:t>
      </w:r>
      <w:r w:rsidRPr="008C368F">
        <w:rPr>
          <w:color w:val="000000" w:themeColor="text1"/>
          <w:lang w:val="en-GB"/>
        </w:rPr>
        <w:t xml:space="preserve">recent </w:t>
      </w:r>
      <w:r w:rsidR="00A25DEE" w:rsidRPr="008C368F">
        <w:rPr>
          <w:color w:val="000000" w:themeColor="text1"/>
          <w:lang w:val="en-GB"/>
        </w:rPr>
        <w:t xml:space="preserve">studies </w:t>
      </w:r>
      <w:r w:rsidRPr="008C368F">
        <w:rPr>
          <w:color w:val="000000" w:themeColor="text1"/>
          <w:lang w:val="en-GB"/>
        </w:rPr>
        <w:t xml:space="preserve">indicating that </w:t>
      </w:r>
      <w:r w:rsidR="00A25DEE" w:rsidRPr="008C368F">
        <w:rPr>
          <w:color w:val="000000" w:themeColor="text1"/>
          <w:lang w:val="en-GB"/>
        </w:rPr>
        <w:t xml:space="preserve">an estimated </w:t>
      </w:r>
      <w:r w:rsidRPr="008C368F">
        <w:rPr>
          <w:color w:val="000000" w:themeColor="text1"/>
          <w:lang w:val="en-GB"/>
        </w:rPr>
        <w:t>4</w:t>
      </w:r>
      <w:r w:rsidR="00A25DEE" w:rsidRPr="008C368F">
        <w:rPr>
          <w:color w:val="000000" w:themeColor="text1"/>
          <w:lang w:val="en-GB"/>
        </w:rPr>
        <w:t>1</w:t>
      </w:r>
      <w:r w:rsidRPr="008C368F">
        <w:rPr>
          <w:color w:val="000000" w:themeColor="text1"/>
          <w:lang w:val="en-GB"/>
        </w:rPr>
        <w:t xml:space="preserve">% of females aged 18-49 have been subjected to physical violence </w:t>
      </w:r>
      <w:r w:rsidR="00A25DEE" w:rsidRPr="008C368F">
        <w:rPr>
          <w:color w:val="000000" w:themeColor="text1"/>
          <w:lang w:val="en-GB"/>
        </w:rPr>
        <w:t xml:space="preserve">as opposed </w:t>
      </w:r>
      <w:r w:rsidR="003B1F77" w:rsidRPr="008C368F">
        <w:rPr>
          <w:color w:val="000000" w:themeColor="text1"/>
          <w:lang w:val="en-GB"/>
        </w:rPr>
        <w:t xml:space="preserve">to </w:t>
      </w:r>
      <w:r w:rsidR="002E7CCA" w:rsidRPr="008C368F">
        <w:rPr>
          <w:color w:val="000000" w:themeColor="text1"/>
          <w:lang w:val="en-GB"/>
        </w:rPr>
        <w:t>28</w:t>
      </w:r>
      <w:r w:rsidR="00A25DEE" w:rsidRPr="008C368F">
        <w:rPr>
          <w:color w:val="000000" w:themeColor="text1"/>
          <w:lang w:val="en-GB"/>
        </w:rPr>
        <w:t>% of males</w:t>
      </w:r>
      <w:r w:rsidR="00A25DEE" w:rsidRPr="008C368F">
        <w:rPr>
          <w:rStyle w:val="FootnoteReference"/>
          <w:color w:val="000000" w:themeColor="text1"/>
          <w:lang w:val="en-GB"/>
        </w:rPr>
        <w:footnoteReference w:id="9"/>
      </w:r>
      <w:r w:rsidRPr="008C368F">
        <w:rPr>
          <w:color w:val="000000" w:themeColor="text1"/>
          <w:lang w:val="en-GB"/>
        </w:rPr>
        <w:t xml:space="preserve">. Despite making </w:t>
      </w:r>
      <w:r w:rsidRPr="008C368F">
        <w:rPr>
          <w:color w:val="000000" w:themeColor="text1"/>
          <w:lang w:val="en-GB"/>
        </w:rPr>
        <w:lastRenderedPageBreak/>
        <w:t>impressive progress in scaling up critical HIV services</w:t>
      </w:r>
      <w:r w:rsidR="00C131F0" w:rsidRPr="008C368F">
        <w:rPr>
          <w:color w:val="000000" w:themeColor="text1"/>
          <w:lang w:val="en-GB"/>
        </w:rPr>
        <w:t xml:space="preserve"> and </w:t>
      </w:r>
      <w:r w:rsidRPr="008C368F">
        <w:rPr>
          <w:color w:val="000000" w:themeColor="text1"/>
          <w:lang w:val="en-GB"/>
        </w:rPr>
        <w:t>reducing new HIV infections, Namibia remains among the top five countries in the world in terms of HIV prevalence</w:t>
      </w:r>
      <w:r w:rsidR="00E61B31" w:rsidRPr="008C368F">
        <w:rPr>
          <w:color w:val="000000" w:themeColor="text1"/>
          <w:lang w:val="en-GB"/>
        </w:rPr>
        <w:t xml:space="preserve"> and the burden of HIV and AIDS</w:t>
      </w:r>
      <w:r w:rsidR="007D4CCF" w:rsidRPr="008C368F">
        <w:rPr>
          <w:color w:val="000000" w:themeColor="text1"/>
          <w:lang w:val="en-GB"/>
        </w:rPr>
        <w:t>-</w:t>
      </w:r>
      <w:r w:rsidR="00E61B31" w:rsidRPr="008C368F">
        <w:rPr>
          <w:color w:val="000000" w:themeColor="text1"/>
          <w:lang w:val="en-GB"/>
        </w:rPr>
        <w:t>related morbidity and mortality continues to be high with HIV-related spending accounting for approximately 35% of total health spending in 2008/09</w:t>
      </w:r>
      <w:r w:rsidR="00E61B31" w:rsidRPr="008C368F">
        <w:rPr>
          <w:rStyle w:val="FootnoteReference"/>
          <w:color w:val="000000" w:themeColor="text1"/>
          <w:lang w:val="en-GB"/>
        </w:rPr>
        <w:footnoteReference w:id="10"/>
      </w:r>
      <w:r w:rsidR="00B22E57" w:rsidRPr="008C368F">
        <w:rPr>
          <w:color w:val="000000" w:themeColor="text1"/>
          <w:lang w:val="en-GB"/>
        </w:rPr>
        <w:t xml:space="preserve">. The </w:t>
      </w:r>
      <w:r w:rsidRPr="008C368F">
        <w:rPr>
          <w:color w:val="000000" w:themeColor="text1"/>
          <w:lang w:val="en-GB"/>
        </w:rPr>
        <w:t xml:space="preserve">HIV prevalence in the general population </w:t>
      </w:r>
      <w:r w:rsidR="006E5FCC" w:rsidRPr="008C368F">
        <w:rPr>
          <w:color w:val="000000" w:themeColor="text1"/>
          <w:lang w:val="en-GB"/>
        </w:rPr>
        <w:t>aged 1</w:t>
      </w:r>
      <w:r w:rsidRPr="008C368F">
        <w:rPr>
          <w:color w:val="000000" w:themeColor="text1"/>
          <w:lang w:val="en-GB"/>
        </w:rPr>
        <w:t>5</w:t>
      </w:r>
      <w:r w:rsidR="006E5FCC" w:rsidRPr="008C368F">
        <w:rPr>
          <w:color w:val="000000" w:themeColor="text1"/>
          <w:lang w:val="en-GB"/>
        </w:rPr>
        <w:t>-</w:t>
      </w:r>
      <w:r w:rsidRPr="008C368F">
        <w:rPr>
          <w:color w:val="000000" w:themeColor="text1"/>
          <w:lang w:val="en-GB"/>
        </w:rPr>
        <w:t xml:space="preserve">49 </w:t>
      </w:r>
      <w:r w:rsidR="00B22E57" w:rsidRPr="008C368F">
        <w:rPr>
          <w:color w:val="000000" w:themeColor="text1"/>
          <w:lang w:val="en-GB"/>
        </w:rPr>
        <w:t xml:space="preserve">is </w:t>
      </w:r>
      <w:r w:rsidRPr="008C368F">
        <w:rPr>
          <w:color w:val="000000" w:themeColor="text1"/>
          <w:lang w:val="en-GB"/>
        </w:rPr>
        <w:t>estimated at 13.4</w:t>
      </w:r>
      <w:r w:rsidR="002E7CCA" w:rsidRPr="008C368F">
        <w:rPr>
          <w:color w:val="000000" w:themeColor="text1"/>
          <w:lang w:val="en-GB"/>
        </w:rPr>
        <w:t xml:space="preserve">% (2011/12) with the prevalence </w:t>
      </w:r>
      <w:r w:rsidRPr="008C368F">
        <w:rPr>
          <w:color w:val="000000" w:themeColor="text1"/>
          <w:lang w:val="en-GB"/>
        </w:rPr>
        <w:t xml:space="preserve">rate among pregnant women </w:t>
      </w:r>
      <w:r w:rsidR="006C5F6C" w:rsidRPr="008C368F">
        <w:rPr>
          <w:color w:val="000000" w:themeColor="text1"/>
          <w:lang w:val="en-GB"/>
        </w:rPr>
        <w:t>estimated</w:t>
      </w:r>
      <w:r w:rsidRPr="008C368F">
        <w:rPr>
          <w:color w:val="000000" w:themeColor="text1"/>
          <w:lang w:val="en-GB"/>
        </w:rPr>
        <w:t xml:space="preserve"> at 18.2%</w:t>
      </w:r>
      <w:r w:rsidR="00070FF4" w:rsidRPr="008C368F">
        <w:rPr>
          <w:rStyle w:val="FootnoteReference"/>
          <w:color w:val="000000" w:themeColor="text1"/>
          <w:lang w:val="en-GB"/>
        </w:rPr>
        <w:footnoteReference w:id="11"/>
      </w:r>
      <w:r w:rsidRPr="008C368F">
        <w:rPr>
          <w:color w:val="000000" w:themeColor="text1"/>
          <w:lang w:val="en-GB"/>
        </w:rPr>
        <w:t>.</w:t>
      </w:r>
    </w:p>
    <w:p w:rsidR="002E7CCA" w:rsidRPr="008C368F" w:rsidRDefault="002E7CCA" w:rsidP="002E7CCA">
      <w:pPr>
        <w:pStyle w:val="ListParagraph"/>
        <w:ind w:left="1440" w:right="1426"/>
        <w:jc w:val="both"/>
        <w:rPr>
          <w:color w:val="000000" w:themeColor="text1"/>
          <w:lang w:val="en-GB"/>
        </w:rPr>
      </w:pPr>
    </w:p>
    <w:p w:rsidR="00DD450B" w:rsidRPr="008C368F" w:rsidRDefault="00DD450B" w:rsidP="0071136D">
      <w:pPr>
        <w:pStyle w:val="ListParagraph"/>
        <w:numPr>
          <w:ilvl w:val="0"/>
          <w:numId w:val="9"/>
        </w:numPr>
        <w:ind w:right="1426"/>
        <w:jc w:val="both"/>
        <w:rPr>
          <w:color w:val="000000" w:themeColor="text1"/>
          <w:lang w:val="en-GB"/>
        </w:rPr>
      </w:pPr>
      <w:r w:rsidRPr="008C368F">
        <w:rPr>
          <w:color w:val="000000" w:themeColor="text1"/>
          <w:lang w:val="en-GB"/>
        </w:rPr>
        <w:t>The major environmental challenges facing the country include harsh climatic conditions;</w:t>
      </w:r>
      <w:r w:rsidR="002F076E" w:rsidRPr="008C368F">
        <w:rPr>
          <w:color w:val="000000" w:themeColor="text1"/>
          <w:lang w:val="en-GB"/>
        </w:rPr>
        <w:t xml:space="preserve"> </w:t>
      </w:r>
      <w:r w:rsidRPr="008C368F">
        <w:rPr>
          <w:color w:val="000000" w:themeColor="text1"/>
          <w:lang w:val="en-GB"/>
        </w:rPr>
        <w:t>cyclical droughts and floods</w:t>
      </w:r>
      <w:r w:rsidR="00323457" w:rsidRPr="008C368F">
        <w:rPr>
          <w:color w:val="000000" w:themeColor="text1"/>
          <w:lang w:val="en-GB"/>
        </w:rPr>
        <w:t xml:space="preserve"> and </w:t>
      </w:r>
      <w:r w:rsidR="002F076E" w:rsidRPr="008C368F">
        <w:rPr>
          <w:color w:val="000000" w:themeColor="text1"/>
          <w:lang w:val="en-GB"/>
        </w:rPr>
        <w:t xml:space="preserve">habitat destruction </w:t>
      </w:r>
      <w:r w:rsidRPr="008C368F">
        <w:rPr>
          <w:color w:val="000000" w:themeColor="text1"/>
          <w:lang w:val="en-GB"/>
        </w:rPr>
        <w:t>and the need to restore the</w:t>
      </w:r>
      <w:r w:rsidR="00A578C0">
        <w:rPr>
          <w:color w:val="000000" w:themeColor="text1"/>
          <w:lang w:val="en-GB"/>
        </w:rPr>
        <w:t xml:space="preserve"> natural resource base after years of over-exploitation.  Namibia is a water-deficit country and there is an ever-growing pressure on scarce water resources as a result of growing population, industrial development and climate variability and change. Although the country has a good solar regime, only an estimated 25% of rural households have access to modern clean energy and the country is projected to face a major energy deficit in the near future. </w:t>
      </w:r>
      <w:r w:rsidR="00C12BBD" w:rsidRPr="008C368F">
        <w:rPr>
          <w:color w:val="000000" w:themeColor="text1"/>
          <w:lang w:val="en-GB"/>
        </w:rPr>
        <w:t xml:space="preserve">These challenges persist because of various factors, including lack of financing for environmental management, limited technical and specialized capacity at local level for sound environmental management, as well as limited integration of environmental sustainability in key development sectors’ </w:t>
      </w:r>
      <w:r w:rsidR="00DD73CE" w:rsidRPr="008C368F">
        <w:rPr>
          <w:color w:val="000000" w:themeColor="text1"/>
          <w:lang w:val="en-GB"/>
        </w:rPr>
        <w:t xml:space="preserve">strategies and </w:t>
      </w:r>
      <w:r w:rsidR="00C12BBD" w:rsidRPr="008C368F">
        <w:rPr>
          <w:color w:val="000000" w:themeColor="text1"/>
          <w:lang w:val="en-GB"/>
        </w:rPr>
        <w:t>plans</w:t>
      </w:r>
      <w:r w:rsidR="00DD73CE" w:rsidRPr="008C368F">
        <w:rPr>
          <w:color w:val="000000" w:themeColor="text1"/>
          <w:lang w:val="en-GB"/>
        </w:rPr>
        <w:t>.</w:t>
      </w:r>
    </w:p>
    <w:p w:rsidR="00DD450B" w:rsidRPr="008C368F" w:rsidRDefault="00DD450B" w:rsidP="0071136D">
      <w:pPr>
        <w:pStyle w:val="ListParagraph"/>
        <w:ind w:left="0" w:right="1426"/>
        <w:jc w:val="both"/>
        <w:rPr>
          <w:color w:val="000000" w:themeColor="text1"/>
          <w:lang w:val="en-GB"/>
        </w:rPr>
      </w:pPr>
    </w:p>
    <w:p w:rsidR="00DD450B" w:rsidRPr="008C368F" w:rsidRDefault="00DD450B" w:rsidP="0071136D">
      <w:pPr>
        <w:pStyle w:val="Heading1"/>
        <w:numPr>
          <w:ilvl w:val="0"/>
          <w:numId w:val="8"/>
        </w:numPr>
        <w:ind w:left="1440" w:right="1426" w:hanging="360"/>
        <w:rPr>
          <w:rFonts w:ascii="Times New Roman" w:hAnsi="Times New Roman"/>
          <w:color w:val="000000" w:themeColor="text1"/>
          <w:sz w:val="22"/>
          <w:szCs w:val="22"/>
          <w:lang w:val="en-GB"/>
        </w:rPr>
      </w:pPr>
      <w:r w:rsidRPr="008C368F">
        <w:rPr>
          <w:rFonts w:ascii="Times New Roman" w:hAnsi="Times New Roman"/>
          <w:color w:val="000000" w:themeColor="text1"/>
          <w:sz w:val="22"/>
          <w:szCs w:val="22"/>
          <w:lang w:val="en-GB"/>
        </w:rPr>
        <w:t xml:space="preserve">Past cooperation and lessons learned </w:t>
      </w:r>
    </w:p>
    <w:p w:rsidR="00DD450B" w:rsidRPr="008C368F" w:rsidRDefault="00DD450B" w:rsidP="00DD450B">
      <w:pPr>
        <w:ind w:left="1440" w:right="1426" w:hanging="360"/>
        <w:rPr>
          <w:color w:val="000000" w:themeColor="text1"/>
          <w:lang w:val="en-GB"/>
        </w:rPr>
      </w:pPr>
    </w:p>
    <w:p w:rsidR="00DD450B" w:rsidRDefault="00DD450B" w:rsidP="00011CF1">
      <w:pPr>
        <w:numPr>
          <w:ilvl w:val="0"/>
          <w:numId w:val="9"/>
        </w:numPr>
        <w:ind w:right="1426"/>
        <w:jc w:val="both"/>
        <w:rPr>
          <w:color w:val="000000" w:themeColor="text1"/>
          <w:lang w:val="en-GB"/>
        </w:rPr>
      </w:pPr>
      <w:r w:rsidRPr="008C368F">
        <w:rPr>
          <w:color w:val="000000" w:themeColor="text1"/>
          <w:lang w:val="en-GB"/>
        </w:rPr>
        <w:t xml:space="preserve">The 2009 independent evaluation of the 2006-2010 CPD concluded that UNDP’s contribution to national development results had been varied. Though </w:t>
      </w:r>
      <w:r w:rsidR="00A578C0">
        <w:rPr>
          <w:color w:val="000000" w:themeColor="text1"/>
          <w:lang w:val="en-GB"/>
        </w:rPr>
        <w:t xml:space="preserve">many outputs were achieved, it was difficult to determine whether </w:t>
      </w:r>
      <w:r w:rsidR="00011CF1">
        <w:rPr>
          <w:color w:val="000000" w:themeColor="text1"/>
          <w:lang w:val="en-GB"/>
        </w:rPr>
        <w:t>they</w:t>
      </w:r>
      <w:r w:rsidR="00011CF1" w:rsidRPr="00011CF1">
        <w:rPr>
          <w:color w:val="000000" w:themeColor="text1"/>
          <w:lang w:val="en-GB"/>
        </w:rPr>
        <w:t xml:space="preserve"> contribut</w:t>
      </w:r>
      <w:r w:rsidR="00011CF1">
        <w:rPr>
          <w:color w:val="000000" w:themeColor="text1"/>
          <w:lang w:val="en-GB"/>
        </w:rPr>
        <w:t>ed</w:t>
      </w:r>
      <w:r w:rsidR="00011CF1" w:rsidRPr="00011CF1">
        <w:rPr>
          <w:color w:val="000000" w:themeColor="text1"/>
          <w:lang w:val="en-GB"/>
        </w:rPr>
        <w:t xml:space="preserve"> to long-term development outcomes</w:t>
      </w:r>
      <w:r w:rsidR="00011CF1">
        <w:rPr>
          <w:color w:val="000000" w:themeColor="text1"/>
          <w:lang w:val="en-GB"/>
        </w:rPr>
        <w:t xml:space="preserve"> </w:t>
      </w:r>
      <w:r w:rsidR="00B34AF8" w:rsidRPr="00B34AF8">
        <w:rPr>
          <w:color w:val="000000" w:themeColor="text1"/>
          <w:lang w:val="en-GB"/>
        </w:rPr>
        <w:t>due to lack of monitoring and evaluation data/systems</w:t>
      </w:r>
      <w:r w:rsidR="00A578C0">
        <w:rPr>
          <w:color w:val="000000" w:themeColor="text1"/>
          <w:lang w:val="en-GB"/>
        </w:rPr>
        <w:t xml:space="preserve">. </w:t>
      </w:r>
      <w:r w:rsidR="00834F52">
        <w:rPr>
          <w:color w:val="000000" w:themeColor="text1"/>
          <w:lang w:val="en-GB"/>
        </w:rPr>
        <w:t>The evaluation</w:t>
      </w:r>
      <w:r w:rsidR="00A578C0">
        <w:rPr>
          <w:color w:val="000000" w:themeColor="text1"/>
          <w:lang w:val="en-GB"/>
        </w:rPr>
        <w:t xml:space="preserve"> noted that the programme lacked focus as it comprised a disparate mix of many interventions/pr</w:t>
      </w:r>
      <w:r w:rsidR="00C10B5E">
        <w:rPr>
          <w:color w:val="000000" w:themeColor="text1"/>
          <w:lang w:val="en-GB"/>
        </w:rPr>
        <w:t xml:space="preserve">ojects and recommended that UNDP </w:t>
      </w:r>
      <w:r w:rsidR="00A578C0">
        <w:rPr>
          <w:color w:val="000000" w:themeColor="text1"/>
          <w:lang w:val="en-GB"/>
        </w:rPr>
        <w:t xml:space="preserve">should do more to position itself strategically and highlight its relevance within an evolving development environment, taking into account Namibia’s upper MIC status. The evaluation also recommended that </w:t>
      </w:r>
      <w:r w:rsidR="00C10B5E">
        <w:rPr>
          <w:color w:val="000000" w:themeColor="text1"/>
          <w:lang w:val="en-GB"/>
        </w:rPr>
        <w:t>UNDP</w:t>
      </w:r>
      <w:r w:rsidR="00A578C0">
        <w:rPr>
          <w:color w:val="000000" w:themeColor="text1"/>
          <w:lang w:val="en-GB"/>
        </w:rPr>
        <w:t xml:space="preserve"> should work more with CSOs and importantly, focus its work programme on evidence-based policy research and advocacy with emphasis o</w:t>
      </w:r>
      <w:r w:rsidR="003C3F15">
        <w:rPr>
          <w:color w:val="000000" w:themeColor="text1"/>
          <w:lang w:val="en-GB"/>
        </w:rPr>
        <w:t>n the poorest and most-deprived.</w:t>
      </w:r>
    </w:p>
    <w:p w:rsidR="003C3F15" w:rsidRPr="008C368F" w:rsidRDefault="003C3F15" w:rsidP="003C3F15">
      <w:pPr>
        <w:ind w:left="1440" w:right="1426"/>
        <w:jc w:val="both"/>
        <w:rPr>
          <w:color w:val="000000" w:themeColor="text1"/>
          <w:lang w:val="en-GB"/>
        </w:rPr>
      </w:pPr>
    </w:p>
    <w:p w:rsidR="00AE5D48" w:rsidRDefault="00A578C0" w:rsidP="003C3F15">
      <w:pPr>
        <w:numPr>
          <w:ilvl w:val="0"/>
          <w:numId w:val="9"/>
        </w:numPr>
        <w:ind w:right="1426"/>
        <w:jc w:val="both"/>
        <w:rPr>
          <w:color w:val="000000" w:themeColor="text1"/>
          <w:lang w:val="en-GB"/>
        </w:rPr>
      </w:pPr>
      <w:r>
        <w:rPr>
          <w:color w:val="000000" w:themeColor="text1"/>
          <w:lang w:val="en-GB"/>
        </w:rPr>
        <w:t xml:space="preserve">Notwithstanding the above, substantive results were achieved </w:t>
      </w:r>
      <w:r w:rsidR="00C10B5E">
        <w:rPr>
          <w:color w:val="000000" w:themeColor="text1"/>
          <w:lang w:val="en-GB"/>
        </w:rPr>
        <w:t>in a number of areas</w:t>
      </w:r>
      <w:r w:rsidR="00BC406A">
        <w:rPr>
          <w:color w:val="000000" w:themeColor="text1"/>
          <w:lang w:val="en-GB"/>
        </w:rPr>
        <w:t>. T</w:t>
      </w:r>
      <w:r w:rsidR="00BC406A" w:rsidRPr="00073263">
        <w:rPr>
          <w:color w:val="000000" w:themeColor="text1"/>
          <w:lang w:val="en-GB"/>
        </w:rPr>
        <w:t>he NDP</w:t>
      </w:r>
      <w:r w:rsidR="00BC406A">
        <w:rPr>
          <w:color w:val="000000" w:themeColor="text1"/>
          <w:lang w:val="en-GB"/>
        </w:rPr>
        <w:t xml:space="preserve"> </w:t>
      </w:r>
      <w:r w:rsidR="00BC406A" w:rsidRPr="00073263">
        <w:rPr>
          <w:color w:val="000000" w:themeColor="text1"/>
          <w:lang w:val="en-GB"/>
        </w:rPr>
        <w:t>3</w:t>
      </w:r>
      <w:r w:rsidR="00BC406A">
        <w:rPr>
          <w:color w:val="000000" w:themeColor="text1"/>
          <w:lang w:val="en-GB"/>
        </w:rPr>
        <w:t xml:space="preserve"> was made possible in part due to UNDP support to </w:t>
      </w:r>
      <w:r w:rsidR="00BC406A" w:rsidRPr="00073263">
        <w:rPr>
          <w:color w:val="000000" w:themeColor="text1"/>
          <w:lang w:val="en-GB"/>
        </w:rPr>
        <w:t>analytical policy studies on poverty</w:t>
      </w:r>
      <w:r w:rsidR="00BC406A">
        <w:rPr>
          <w:color w:val="000000" w:themeColor="text1"/>
          <w:lang w:val="en-GB"/>
        </w:rPr>
        <w:t xml:space="preserve">. The </w:t>
      </w:r>
      <w:r w:rsidR="00BC406A" w:rsidRPr="00073263">
        <w:rPr>
          <w:color w:val="000000" w:themeColor="text1"/>
          <w:lang w:val="en-GB"/>
        </w:rPr>
        <w:t xml:space="preserve">Anti-Corruption Commission </w:t>
      </w:r>
      <w:r w:rsidR="00BC406A">
        <w:rPr>
          <w:color w:val="000000" w:themeColor="text1"/>
          <w:lang w:val="en-GB"/>
        </w:rPr>
        <w:t xml:space="preserve">was able to </w:t>
      </w:r>
      <w:r w:rsidR="00BC406A" w:rsidRPr="00073263">
        <w:rPr>
          <w:color w:val="000000" w:themeColor="text1"/>
          <w:lang w:val="en-GB"/>
        </w:rPr>
        <w:t>implement the Anti</w:t>
      </w:r>
      <w:r w:rsidR="00BC406A">
        <w:rPr>
          <w:color w:val="000000" w:themeColor="text1"/>
          <w:lang w:val="en-GB"/>
        </w:rPr>
        <w:t>-C</w:t>
      </w:r>
      <w:r w:rsidR="00BC406A" w:rsidRPr="00073263">
        <w:rPr>
          <w:color w:val="000000" w:themeColor="text1"/>
          <w:lang w:val="en-GB"/>
        </w:rPr>
        <w:t>orruption Act</w:t>
      </w:r>
      <w:r w:rsidR="00BC406A">
        <w:rPr>
          <w:color w:val="000000" w:themeColor="text1"/>
          <w:lang w:val="en-GB"/>
        </w:rPr>
        <w:t xml:space="preserve"> with country office support</w:t>
      </w:r>
      <w:r w:rsidR="00BC406A" w:rsidRPr="00073263">
        <w:rPr>
          <w:color w:val="000000" w:themeColor="text1"/>
          <w:lang w:val="en-GB"/>
        </w:rPr>
        <w:t xml:space="preserve">. </w:t>
      </w:r>
      <w:r>
        <w:rPr>
          <w:color w:val="000000" w:themeColor="text1"/>
          <w:lang w:val="en-GB"/>
        </w:rPr>
        <w:t xml:space="preserve">UNDP also supported the development and implementation of the public sector policy on HIV/AIDS; development of 23 community action plans and increased awareness and participation of communities and traditional leaders in HIV/AIDS response initiatives. Important gains were also realized on gender through </w:t>
      </w:r>
      <w:r w:rsidR="00EF34F8">
        <w:rPr>
          <w:color w:val="000000" w:themeColor="text1"/>
          <w:lang w:val="en-GB"/>
        </w:rPr>
        <w:t xml:space="preserve">support for </w:t>
      </w:r>
      <w:r w:rsidR="003B1F77" w:rsidRPr="008C368F">
        <w:rPr>
          <w:color w:val="000000" w:themeColor="text1"/>
          <w:lang w:val="en-GB"/>
        </w:rPr>
        <w:t xml:space="preserve">the </w:t>
      </w:r>
      <w:r w:rsidR="009B207E" w:rsidRPr="008C368F">
        <w:rPr>
          <w:color w:val="000000" w:themeColor="text1"/>
          <w:lang w:val="en-GB"/>
        </w:rPr>
        <w:t xml:space="preserve">development of </w:t>
      </w:r>
      <w:r w:rsidR="00CA05E7" w:rsidRPr="008C368F">
        <w:rPr>
          <w:color w:val="000000" w:themeColor="text1"/>
          <w:lang w:val="en-GB"/>
        </w:rPr>
        <w:t xml:space="preserve">the National Gender Policy (NGP) and the GBV plan of action. </w:t>
      </w:r>
      <w:r w:rsidR="00C10B5E">
        <w:rPr>
          <w:color w:val="000000" w:themeColor="text1"/>
          <w:lang w:val="en-GB"/>
        </w:rPr>
        <w:t>UNDP</w:t>
      </w:r>
      <w:r w:rsidR="00CA05E7" w:rsidRPr="008C368F">
        <w:rPr>
          <w:color w:val="000000" w:themeColor="text1"/>
          <w:lang w:val="en-GB"/>
        </w:rPr>
        <w:t xml:space="preserve"> provided </w:t>
      </w:r>
      <w:r w:rsidR="0068584D" w:rsidRPr="008C368F">
        <w:rPr>
          <w:color w:val="000000" w:themeColor="text1"/>
          <w:lang w:val="en-GB"/>
        </w:rPr>
        <w:t>technical assistance</w:t>
      </w:r>
      <w:r w:rsidR="00CA05E7" w:rsidRPr="008C368F">
        <w:rPr>
          <w:color w:val="000000" w:themeColor="text1"/>
          <w:lang w:val="en-GB"/>
        </w:rPr>
        <w:t xml:space="preserve"> to strengthen </w:t>
      </w:r>
      <w:r w:rsidR="009B207E" w:rsidRPr="008C368F">
        <w:rPr>
          <w:color w:val="000000" w:themeColor="text1"/>
          <w:lang w:val="en-GB"/>
        </w:rPr>
        <w:t xml:space="preserve">the </w:t>
      </w:r>
      <w:r w:rsidR="00CA05E7" w:rsidRPr="008C368F">
        <w:rPr>
          <w:color w:val="000000" w:themeColor="text1"/>
          <w:lang w:val="en-GB"/>
        </w:rPr>
        <w:t>institutional capacity of the Min</w:t>
      </w:r>
      <w:r w:rsidR="00F26A27" w:rsidRPr="008C368F">
        <w:rPr>
          <w:color w:val="000000" w:themeColor="text1"/>
          <w:lang w:val="en-GB"/>
        </w:rPr>
        <w:t>istry</w:t>
      </w:r>
      <w:r w:rsidR="00CA05E7" w:rsidRPr="008C368F">
        <w:rPr>
          <w:color w:val="000000" w:themeColor="text1"/>
          <w:lang w:val="en-GB"/>
        </w:rPr>
        <w:t xml:space="preserve"> of Gender Equality and Child Welfare (MGECW). </w:t>
      </w:r>
      <w:r w:rsidR="00D20062" w:rsidRPr="008C368F">
        <w:rPr>
          <w:color w:val="000000" w:themeColor="text1"/>
          <w:lang w:val="en-GB"/>
        </w:rPr>
        <w:t xml:space="preserve">Capacities were enhanced at the systemic, </w:t>
      </w:r>
      <w:r>
        <w:rPr>
          <w:color w:val="000000" w:themeColor="text1"/>
          <w:lang w:val="en-GB"/>
        </w:rPr>
        <w:t xml:space="preserve">institutional and individual levels to manage and deal with the adverse effects of global trends such as climate change and desertification on biodiversity and ecosystems. </w:t>
      </w:r>
      <w:r w:rsidR="00C10B5E">
        <w:rPr>
          <w:color w:val="000000" w:themeColor="text1"/>
          <w:lang w:val="en-GB"/>
        </w:rPr>
        <w:t>UNDP</w:t>
      </w:r>
      <w:r>
        <w:rPr>
          <w:color w:val="000000" w:themeColor="text1"/>
          <w:lang w:val="en-GB"/>
        </w:rPr>
        <w:t xml:space="preserve"> </w:t>
      </w:r>
      <w:r w:rsidR="00EF34F8">
        <w:rPr>
          <w:color w:val="000000" w:themeColor="text1"/>
          <w:lang w:val="en-GB"/>
        </w:rPr>
        <w:t xml:space="preserve">also </w:t>
      </w:r>
      <w:r w:rsidR="0068584D" w:rsidRPr="008C368F">
        <w:rPr>
          <w:color w:val="000000" w:themeColor="text1"/>
          <w:lang w:val="en-GB"/>
        </w:rPr>
        <w:t xml:space="preserve">supported the development of a number of policies and strategies including </w:t>
      </w:r>
      <w:r>
        <w:rPr>
          <w:color w:val="000000" w:themeColor="text1"/>
          <w:lang w:val="en-GB"/>
        </w:rPr>
        <w:t xml:space="preserve">those on biodiversity conservation; climate change adaptation and mitigation; renewable energy and energy efficiency; community-based tourism enterprise development, sustainable land management; and trans-boundary water and natural resources. </w:t>
      </w:r>
    </w:p>
    <w:p w:rsidR="003C3F15" w:rsidRPr="008C368F" w:rsidRDefault="003C3F15" w:rsidP="003C3F15">
      <w:pPr>
        <w:ind w:left="1440" w:right="1426"/>
        <w:jc w:val="both"/>
        <w:rPr>
          <w:color w:val="000000" w:themeColor="text1"/>
          <w:lang w:val="en-GB"/>
        </w:rPr>
      </w:pPr>
    </w:p>
    <w:p w:rsidR="00DD450B" w:rsidRPr="008C368F" w:rsidRDefault="00A578C0" w:rsidP="003C3F15">
      <w:pPr>
        <w:numPr>
          <w:ilvl w:val="0"/>
          <w:numId w:val="9"/>
        </w:numPr>
        <w:ind w:right="1426"/>
        <w:jc w:val="both"/>
        <w:rPr>
          <w:color w:val="000000" w:themeColor="text1"/>
          <w:lang w:val="en-GB"/>
        </w:rPr>
      </w:pPr>
      <w:r>
        <w:rPr>
          <w:color w:val="000000" w:themeColor="text1"/>
          <w:lang w:val="en-GB"/>
        </w:rPr>
        <w:lastRenderedPageBreak/>
        <w:t>The evaluation and subsequent analyses carried out as part of the country situational analysis – a precursor to the United Nations Partnership Framework (UNPAF) 2014-2018 – highlighted that, in view of Namibia’s MIC status, the role of the UN/UNDP has evolved from that of providing development assistance to one of developing capacities of institutions; fostering multi-disciplinary approaches to development; strengthening knowledge generation and management; promoting standards, norms and accountability mechanisms; providing high-quality technical expertise and policy advic</w:t>
      </w:r>
      <w:r w:rsidR="00834F52">
        <w:rPr>
          <w:color w:val="000000" w:themeColor="text1"/>
          <w:lang w:val="en-GB"/>
        </w:rPr>
        <w:t>e; and facilitating South-South</w:t>
      </w:r>
      <w:r>
        <w:rPr>
          <w:color w:val="000000" w:themeColor="text1"/>
          <w:lang w:val="en-GB"/>
        </w:rPr>
        <w:t xml:space="preserve"> and triangular co-operation. These developments point to the need for UNDP to move upstream in the next programming period and make the case for its value added in an MIC context.</w:t>
      </w:r>
    </w:p>
    <w:p w:rsidR="00DD450B" w:rsidRPr="008C368F" w:rsidRDefault="00DD450B" w:rsidP="003C3F15">
      <w:pPr>
        <w:ind w:right="1426"/>
        <w:jc w:val="both"/>
        <w:rPr>
          <w:color w:val="000000" w:themeColor="text1"/>
          <w:lang w:val="en-GB"/>
        </w:rPr>
      </w:pPr>
    </w:p>
    <w:p w:rsidR="00DD450B" w:rsidRPr="008C368F" w:rsidRDefault="00A578C0" w:rsidP="00DD450B">
      <w:pPr>
        <w:pStyle w:val="Heading1"/>
        <w:ind w:left="1440" w:right="1426" w:hanging="360"/>
        <w:rPr>
          <w:rFonts w:ascii="Times New Roman" w:hAnsi="Times New Roman"/>
          <w:color w:val="000000" w:themeColor="text1"/>
          <w:sz w:val="22"/>
          <w:szCs w:val="22"/>
          <w:lang w:val="en-GB"/>
        </w:rPr>
      </w:pPr>
      <w:r w:rsidRPr="00A578C0">
        <w:rPr>
          <w:rFonts w:ascii="Times New Roman" w:hAnsi="Times New Roman"/>
          <w:color w:val="000000" w:themeColor="text1"/>
          <w:sz w:val="20"/>
          <w:lang w:val="en-GB"/>
        </w:rPr>
        <w:t>III.</w:t>
      </w:r>
      <w:r w:rsidRPr="00A578C0">
        <w:rPr>
          <w:rFonts w:ascii="Times New Roman" w:hAnsi="Times New Roman"/>
          <w:color w:val="000000" w:themeColor="text1"/>
          <w:sz w:val="20"/>
          <w:lang w:val="en-GB"/>
        </w:rPr>
        <w:tab/>
      </w:r>
      <w:r w:rsidRPr="00A578C0">
        <w:rPr>
          <w:rFonts w:ascii="Times New Roman" w:hAnsi="Times New Roman"/>
          <w:color w:val="000000" w:themeColor="text1"/>
          <w:sz w:val="22"/>
          <w:szCs w:val="22"/>
          <w:lang w:val="en-GB"/>
        </w:rPr>
        <w:t xml:space="preserve">Proposed programme </w:t>
      </w:r>
    </w:p>
    <w:p w:rsidR="00DD450B" w:rsidRPr="008C368F" w:rsidRDefault="00DD450B" w:rsidP="00DD450B">
      <w:pPr>
        <w:ind w:left="1440" w:right="1426" w:hanging="360"/>
        <w:rPr>
          <w:color w:val="000000" w:themeColor="text1"/>
          <w:lang w:val="en-GB"/>
        </w:rPr>
      </w:pPr>
    </w:p>
    <w:p w:rsidR="00DD450B" w:rsidRPr="008C368F" w:rsidRDefault="00A578C0" w:rsidP="007543CC">
      <w:pPr>
        <w:pStyle w:val="ListParagraph"/>
        <w:numPr>
          <w:ilvl w:val="0"/>
          <w:numId w:val="9"/>
        </w:numPr>
        <w:ind w:right="1426"/>
        <w:jc w:val="both"/>
        <w:rPr>
          <w:color w:val="000000" w:themeColor="text1"/>
          <w:lang w:val="en-GB"/>
        </w:rPr>
      </w:pPr>
      <w:r>
        <w:rPr>
          <w:color w:val="000000" w:themeColor="text1"/>
          <w:lang w:val="en-GB"/>
        </w:rPr>
        <w:t xml:space="preserve">The proposed programme </w:t>
      </w:r>
      <w:r w:rsidR="007543CC">
        <w:rPr>
          <w:color w:val="000000" w:themeColor="text1"/>
          <w:lang w:val="en-GB"/>
        </w:rPr>
        <w:t xml:space="preserve">is informed by the lessons of the previous CPD and </w:t>
      </w:r>
      <w:r w:rsidR="007543CC" w:rsidRPr="007543CC">
        <w:rPr>
          <w:color w:val="000000" w:themeColor="text1"/>
          <w:lang w:val="en-GB"/>
        </w:rPr>
        <w:t xml:space="preserve">details UNDP-specific support to an evolving national planning cycle as expressed through the </w:t>
      </w:r>
      <w:r>
        <w:rPr>
          <w:color w:val="000000" w:themeColor="text1"/>
          <w:lang w:val="en-GB"/>
        </w:rPr>
        <w:t xml:space="preserve">2014-18 UNPAF. The present CPD focuses on upstream interventions, and, to a limited extent, related downstream activities, in strategic areas of policy support, capacity development and systems and institutional strengthening. </w:t>
      </w:r>
      <w:r w:rsidR="008B5120">
        <w:rPr>
          <w:color w:val="000000" w:themeColor="text1"/>
          <w:lang w:val="en-GB"/>
        </w:rPr>
        <w:t xml:space="preserve">It focuses on the nexus between poverty and the environment, with governance underpinning </w:t>
      </w:r>
      <w:r w:rsidR="00D62712">
        <w:rPr>
          <w:color w:val="000000" w:themeColor="text1"/>
          <w:lang w:val="en-GB"/>
        </w:rPr>
        <w:t>both</w:t>
      </w:r>
      <w:r w:rsidR="00E320A0">
        <w:rPr>
          <w:color w:val="000000" w:themeColor="text1"/>
          <w:lang w:val="en-GB"/>
        </w:rPr>
        <w:t xml:space="preserve"> areas</w:t>
      </w:r>
      <w:r w:rsidR="008B5120">
        <w:rPr>
          <w:color w:val="000000" w:themeColor="text1"/>
          <w:lang w:val="en-GB"/>
        </w:rPr>
        <w:t xml:space="preserve">. </w:t>
      </w:r>
      <w:r>
        <w:rPr>
          <w:color w:val="000000" w:themeColor="text1"/>
          <w:lang w:val="en-GB"/>
        </w:rPr>
        <w:t xml:space="preserve">The CPD will deliver results in the programme areas of democratic governance; inclusive economic growth and poverty reduction; and environmental sustainability and building resilience, while mainstreaming gender equality and HIV/AIDS into all programming components. </w:t>
      </w:r>
    </w:p>
    <w:p w:rsidR="00DD450B" w:rsidRPr="008C368F" w:rsidRDefault="00DD450B" w:rsidP="00DD450B">
      <w:pPr>
        <w:ind w:left="1440" w:right="1426" w:hanging="360"/>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Programme Component 1:    Democratic Governance</w:t>
      </w:r>
    </w:p>
    <w:p w:rsidR="008D5F15" w:rsidRPr="00427C3B" w:rsidRDefault="00A578C0" w:rsidP="00427C3B">
      <w:pPr>
        <w:pStyle w:val="ListParagraph"/>
        <w:numPr>
          <w:ilvl w:val="0"/>
          <w:numId w:val="9"/>
        </w:numPr>
        <w:ind w:right="1426"/>
        <w:jc w:val="both"/>
        <w:rPr>
          <w:color w:val="000000" w:themeColor="text1"/>
          <w:lang w:val="en-GB"/>
        </w:rPr>
      </w:pPr>
      <w:r w:rsidRPr="00427C3B">
        <w:rPr>
          <w:color w:val="000000" w:themeColor="text1"/>
          <w:lang w:val="en-GB"/>
        </w:rPr>
        <w:t xml:space="preserve">Under this programme, </w:t>
      </w:r>
      <w:r w:rsidR="00C10B5E" w:rsidRPr="00427C3B">
        <w:rPr>
          <w:color w:val="000000" w:themeColor="text1"/>
          <w:lang w:val="en-GB"/>
        </w:rPr>
        <w:t>UNDP</w:t>
      </w:r>
      <w:r w:rsidRPr="00427C3B">
        <w:rPr>
          <w:color w:val="000000" w:themeColor="text1"/>
          <w:lang w:val="en-GB"/>
        </w:rPr>
        <w:t xml:space="preserve"> will contribute towards improved democratic governance in the country by working </w:t>
      </w:r>
      <w:r w:rsidR="00981CE1" w:rsidRPr="00427C3B">
        <w:rPr>
          <w:color w:val="000000" w:themeColor="text1"/>
          <w:lang w:val="en-GB"/>
        </w:rPr>
        <w:t xml:space="preserve">in </w:t>
      </w:r>
      <w:r w:rsidRPr="00427C3B">
        <w:rPr>
          <w:color w:val="000000" w:themeColor="text1"/>
          <w:lang w:val="en-GB"/>
        </w:rPr>
        <w:t xml:space="preserve">specific areas </w:t>
      </w:r>
      <w:r w:rsidR="00981CE1" w:rsidRPr="00427C3B">
        <w:rPr>
          <w:color w:val="000000" w:themeColor="text1"/>
          <w:lang w:val="en-GB"/>
        </w:rPr>
        <w:t xml:space="preserve">with the governance institutions </w:t>
      </w:r>
      <w:r w:rsidRPr="00427C3B">
        <w:rPr>
          <w:color w:val="000000" w:themeColor="text1"/>
          <w:lang w:val="en-GB"/>
        </w:rPr>
        <w:t xml:space="preserve">that provide the best potential to improve oversight, human rights, accountability and participation. This will include upstream work with Parliament to carry out oversight functions; </w:t>
      </w:r>
      <w:r w:rsidR="00981CE1" w:rsidRPr="00427C3B">
        <w:rPr>
          <w:color w:val="000000" w:themeColor="text1"/>
          <w:lang w:val="en-GB"/>
        </w:rPr>
        <w:t xml:space="preserve">with </w:t>
      </w:r>
      <w:r w:rsidRPr="00427C3B">
        <w:rPr>
          <w:color w:val="000000" w:themeColor="text1"/>
          <w:lang w:val="en-GB"/>
        </w:rPr>
        <w:t>the Anti-Corruption Commission (ACC) to develop and implement the ACC strategy in line with the UNCAC Gap Analysis;</w:t>
      </w:r>
      <w:r w:rsidR="00981CE1" w:rsidRPr="00427C3B">
        <w:rPr>
          <w:color w:val="000000" w:themeColor="text1"/>
          <w:lang w:val="en-GB"/>
        </w:rPr>
        <w:t xml:space="preserve"> with</w:t>
      </w:r>
      <w:r w:rsidRPr="00427C3B">
        <w:rPr>
          <w:color w:val="000000" w:themeColor="text1"/>
          <w:lang w:val="en-GB"/>
        </w:rPr>
        <w:t xml:space="preserve"> the Ministry of Justice and the Electoral Commission of Namibia on the electoral law reform process; and</w:t>
      </w:r>
      <w:r w:rsidR="00981CE1" w:rsidRPr="00427C3B">
        <w:rPr>
          <w:color w:val="000000" w:themeColor="text1"/>
          <w:lang w:val="en-GB"/>
        </w:rPr>
        <w:t xml:space="preserve"> with</w:t>
      </w:r>
      <w:r w:rsidRPr="00427C3B">
        <w:rPr>
          <w:color w:val="000000" w:themeColor="text1"/>
          <w:lang w:val="en-GB"/>
        </w:rPr>
        <w:t xml:space="preserve"> the Office of the Ombudsman in promoting human rights through implementation of the UPR recommendations. In doing so, </w:t>
      </w:r>
      <w:r w:rsidR="00C10B5E" w:rsidRPr="00427C3B">
        <w:rPr>
          <w:color w:val="000000" w:themeColor="text1"/>
          <w:lang w:val="en-GB"/>
        </w:rPr>
        <w:t>UNDP</w:t>
      </w:r>
      <w:r w:rsidRPr="00427C3B">
        <w:rPr>
          <w:color w:val="000000" w:themeColor="text1"/>
          <w:lang w:val="en-GB"/>
        </w:rPr>
        <w:t xml:space="preserve"> will </w:t>
      </w:r>
      <w:r w:rsidRPr="00427C3B">
        <w:rPr>
          <w:iCs/>
          <w:color w:val="000000" w:themeColor="text1"/>
          <w:lang w:val="en-GB"/>
        </w:rPr>
        <w:t xml:space="preserve">support policy reform processes, </w:t>
      </w:r>
      <w:r w:rsidR="00981CE1" w:rsidRPr="00427C3B">
        <w:rPr>
          <w:iCs/>
          <w:color w:val="000000" w:themeColor="text1"/>
          <w:lang w:val="en-GB"/>
        </w:rPr>
        <w:t xml:space="preserve">and </w:t>
      </w:r>
      <w:r w:rsidRPr="00427C3B">
        <w:rPr>
          <w:iCs/>
          <w:color w:val="000000" w:themeColor="text1"/>
          <w:lang w:val="en-GB"/>
        </w:rPr>
        <w:t>legislative and fiscal frameworks to promote equity, human rights</w:t>
      </w:r>
      <w:r w:rsidR="00981CE1" w:rsidRPr="00427C3B">
        <w:rPr>
          <w:iCs/>
          <w:color w:val="000000" w:themeColor="text1"/>
          <w:lang w:val="en-GB"/>
        </w:rPr>
        <w:t xml:space="preserve"> and</w:t>
      </w:r>
      <w:r w:rsidRPr="00427C3B">
        <w:rPr>
          <w:iCs/>
          <w:color w:val="000000" w:themeColor="text1"/>
          <w:lang w:val="en-GB"/>
        </w:rPr>
        <w:t xml:space="preserve"> gender equality</w:t>
      </w:r>
      <w:r w:rsidR="00981CE1" w:rsidRPr="00427C3B">
        <w:rPr>
          <w:iCs/>
          <w:color w:val="000000" w:themeColor="text1"/>
          <w:lang w:val="en-GB"/>
        </w:rPr>
        <w:t xml:space="preserve">. It will also </w:t>
      </w:r>
      <w:r w:rsidRPr="00427C3B">
        <w:rPr>
          <w:iCs/>
          <w:color w:val="000000" w:themeColor="text1"/>
          <w:lang w:val="en-GB"/>
        </w:rPr>
        <w:t xml:space="preserve">support initiatives aimed at </w:t>
      </w:r>
      <w:r w:rsidR="00981CE1" w:rsidRPr="00427C3B">
        <w:rPr>
          <w:iCs/>
          <w:color w:val="000000" w:themeColor="text1"/>
          <w:lang w:val="en-GB"/>
        </w:rPr>
        <w:t xml:space="preserve">the </w:t>
      </w:r>
      <w:r w:rsidRPr="00427C3B">
        <w:rPr>
          <w:iCs/>
          <w:color w:val="000000" w:themeColor="text1"/>
          <w:lang w:val="en-GB"/>
        </w:rPr>
        <w:t xml:space="preserve">elimination of discriminatory laws and policies affecting PLWHA, marginalized groups including most at risk populations. Through the UN Gender Theme Group, </w:t>
      </w:r>
      <w:r w:rsidR="00C10B5E" w:rsidRPr="00427C3B">
        <w:rPr>
          <w:iCs/>
          <w:color w:val="000000" w:themeColor="text1"/>
          <w:lang w:val="en-GB"/>
        </w:rPr>
        <w:t>UNDP</w:t>
      </w:r>
      <w:r w:rsidRPr="00427C3B">
        <w:rPr>
          <w:iCs/>
          <w:color w:val="000000" w:themeColor="text1"/>
          <w:lang w:val="en-GB"/>
        </w:rPr>
        <w:t xml:space="preserve"> will support the </w:t>
      </w:r>
      <w:r w:rsidRPr="00427C3B">
        <w:rPr>
          <w:color w:val="000000" w:themeColor="text1"/>
          <w:lang w:val="en-GB"/>
        </w:rPr>
        <w:t>MGECW</w:t>
      </w:r>
      <w:r w:rsidRPr="00427C3B">
        <w:rPr>
          <w:iCs/>
          <w:color w:val="000000" w:themeColor="text1"/>
          <w:lang w:val="en-GB"/>
        </w:rPr>
        <w:t xml:space="preserve"> to strengthen institutional capacity and accelerate</w:t>
      </w:r>
      <w:r w:rsidRPr="00427C3B">
        <w:rPr>
          <w:color w:val="000000" w:themeColor="text1"/>
          <w:lang w:val="en-GB"/>
        </w:rPr>
        <w:t xml:space="preserve"> implementation of the national GBV Plan of Action, including through stronger civil society engagement.</w:t>
      </w:r>
      <w:r w:rsidRPr="00427C3B">
        <w:rPr>
          <w:iCs/>
          <w:color w:val="000000" w:themeColor="text1"/>
          <w:lang w:val="en-GB"/>
        </w:rPr>
        <w:t xml:space="preserve"> </w:t>
      </w:r>
      <w:r w:rsidR="00C10B5E" w:rsidRPr="00427C3B">
        <w:rPr>
          <w:iCs/>
          <w:color w:val="000000" w:themeColor="text1"/>
          <w:lang w:val="en-GB"/>
        </w:rPr>
        <w:t>UNDP</w:t>
      </w:r>
      <w:r w:rsidRPr="00427C3B">
        <w:rPr>
          <w:iCs/>
          <w:color w:val="000000" w:themeColor="text1"/>
          <w:lang w:val="en-GB"/>
        </w:rPr>
        <w:t xml:space="preserve"> will also support Ministry of Health and Social Services and the Office of the Prime M</w:t>
      </w:r>
      <w:r w:rsidR="001E680F" w:rsidRPr="00427C3B">
        <w:rPr>
          <w:iCs/>
          <w:color w:val="000000" w:themeColor="text1"/>
          <w:lang w:val="en-GB"/>
        </w:rPr>
        <w:t>inister to fully mainstream HIV/</w:t>
      </w:r>
      <w:r w:rsidRPr="00427C3B">
        <w:rPr>
          <w:iCs/>
          <w:color w:val="000000" w:themeColor="text1"/>
          <w:lang w:val="en-GB"/>
        </w:rPr>
        <w:t>AIDS in sectoral planning, budgeting and implementation processes.</w:t>
      </w:r>
      <w:r w:rsidR="00E320A0" w:rsidRPr="00427C3B">
        <w:rPr>
          <w:iCs/>
          <w:color w:val="000000" w:themeColor="text1"/>
          <w:lang w:val="en-GB"/>
        </w:rPr>
        <w:t xml:space="preserve"> The governance </w:t>
      </w:r>
      <w:r w:rsidR="004F1B3B">
        <w:rPr>
          <w:iCs/>
          <w:color w:val="000000" w:themeColor="text1"/>
          <w:lang w:val="en-GB"/>
        </w:rPr>
        <w:t xml:space="preserve">work </w:t>
      </w:r>
      <w:r w:rsidR="00E320A0" w:rsidRPr="00427C3B">
        <w:rPr>
          <w:iCs/>
          <w:color w:val="000000" w:themeColor="text1"/>
          <w:lang w:val="en-GB"/>
        </w:rPr>
        <w:t xml:space="preserve">will provide a solid foundation for components two and three by </w:t>
      </w:r>
      <w:r w:rsidR="00427C3B" w:rsidRPr="00427C3B">
        <w:rPr>
          <w:iCs/>
          <w:color w:val="000000" w:themeColor="text1"/>
          <w:lang w:val="en-GB"/>
        </w:rPr>
        <w:t>promoting standards, norms and accountability mechanisms</w:t>
      </w:r>
      <w:r w:rsidR="004F1B3B">
        <w:rPr>
          <w:iCs/>
          <w:color w:val="000000" w:themeColor="text1"/>
          <w:lang w:val="en-GB"/>
        </w:rPr>
        <w:t xml:space="preserve">, while </w:t>
      </w:r>
      <w:r w:rsidR="004F1B3B">
        <w:t>addressing</w:t>
      </w:r>
      <w:r w:rsidR="00427C3B">
        <w:t xml:space="preserve"> </w:t>
      </w:r>
      <w:r w:rsidR="00427C3B" w:rsidRPr="00427C3B">
        <w:rPr>
          <w:iCs/>
          <w:color w:val="000000" w:themeColor="text1"/>
          <w:lang w:val="en-GB"/>
        </w:rPr>
        <w:t>the poorest and most-deprived</w:t>
      </w:r>
      <w:r w:rsidR="00427C3B">
        <w:rPr>
          <w:iCs/>
          <w:color w:val="000000" w:themeColor="text1"/>
          <w:lang w:val="en-GB"/>
        </w:rPr>
        <w:t>.</w:t>
      </w:r>
    </w:p>
    <w:p w:rsidR="00427C3B" w:rsidRPr="00427C3B" w:rsidRDefault="00427C3B" w:rsidP="00427C3B">
      <w:pPr>
        <w:pStyle w:val="ListParagraph"/>
        <w:ind w:left="1440" w:right="1426"/>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 xml:space="preserve">Programme Component 2: Inclusive Growth, Economic Empowerment and Poverty Reduction </w:t>
      </w:r>
    </w:p>
    <w:p w:rsidR="00324016" w:rsidRPr="008C368F" w:rsidRDefault="00324016" w:rsidP="00324016">
      <w:pPr>
        <w:pStyle w:val="ListParagraph"/>
        <w:ind w:left="1440" w:right="1426" w:hanging="360"/>
        <w:jc w:val="both"/>
        <w:rPr>
          <w:b/>
          <w:color w:val="000000" w:themeColor="text1"/>
          <w:lang w:val="en-GB"/>
        </w:rPr>
      </w:pPr>
    </w:p>
    <w:p w:rsidR="00324016" w:rsidRPr="008C368F" w:rsidRDefault="00C10B5E" w:rsidP="00324016">
      <w:pPr>
        <w:pStyle w:val="ListParagraph"/>
        <w:numPr>
          <w:ilvl w:val="0"/>
          <w:numId w:val="9"/>
        </w:numPr>
        <w:ind w:right="1426"/>
        <w:jc w:val="both"/>
        <w:rPr>
          <w:color w:val="000000" w:themeColor="text1"/>
          <w:lang w:val="en-GB"/>
        </w:rPr>
      </w:pPr>
      <w:r>
        <w:rPr>
          <w:color w:val="000000" w:themeColor="text1"/>
          <w:lang w:val="en-GB"/>
        </w:rPr>
        <w:t>UNDP</w:t>
      </w:r>
      <w:r w:rsidR="00A578C0">
        <w:rPr>
          <w:color w:val="000000" w:themeColor="text1"/>
          <w:lang w:val="en-GB"/>
        </w:rPr>
        <w:t xml:space="preserve"> will support analytical policy-oriented research and capacity building efforts aimed at enhancing job creation and reducing poverty at national and sub-national levels.  It will engage national counterparts to generate, capture and disseminate evidence-based analysis on the root causes of poverty – including environmental determinants of poverty – aimed at improving the formulation and implementation of policies and targeted interventions for inclusive economic growth; employment creation; and reduction of poverty and inequality.  Further, economic analysis support will be provided to the Ministry of Environment Economic Unit to improve and </w:t>
      </w:r>
      <w:r w:rsidR="00A578C0">
        <w:rPr>
          <w:color w:val="000000" w:themeColor="text1"/>
          <w:lang w:val="en-GB"/>
        </w:rPr>
        <w:lastRenderedPageBreak/>
        <w:t xml:space="preserve">enhance natural resource accounts. </w:t>
      </w:r>
      <w:r w:rsidR="000F79EC">
        <w:rPr>
          <w:color w:val="000000" w:themeColor="text1"/>
          <w:lang w:val="en-GB"/>
        </w:rPr>
        <w:t>UNDP</w:t>
      </w:r>
      <w:r w:rsidR="00A578C0">
        <w:rPr>
          <w:color w:val="000000" w:themeColor="text1"/>
          <w:lang w:val="en-GB"/>
        </w:rPr>
        <w:t xml:space="preserve"> will also support the development and implementation of </w:t>
      </w:r>
      <w:r w:rsidR="0033432D">
        <w:rPr>
          <w:color w:val="000000" w:themeColor="text1"/>
          <w:lang w:val="en-GB"/>
        </w:rPr>
        <w:t xml:space="preserve">targeted </w:t>
      </w:r>
      <w:r w:rsidR="00A578C0">
        <w:rPr>
          <w:color w:val="000000" w:themeColor="text1"/>
          <w:lang w:val="en-GB"/>
        </w:rPr>
        <w:t xml:space="preserve">interventions that improve the livelihoods of the poor, especially women and youth, in rural and peri-urban areas. UNDP will design and roll out a pilot Gender Responsive Procurement initiative aligned to the women’s economic empowerment component of the national Gender Plan of Action. Overall, this component will serve to generate reliable and timely data and information to inform policy initiatives and interventions under all </w:t>
      </w:r>
      <w:r>
        <w:rPr>
          <w:color w:val="000000" w:themeColor="text1"/>
          <w:lang w:val="en-GB"/>
        </w:rPr>
        <w:t>UNDP</w:t>
      </w:r>
      <w:r w:rsidR="00A578C0">
        <w:rPr>
          <w:color w:val="000000" w:themeColor="text1"/>
          <w:lang w:val="en-GB"/>
        </w:rPr>
        <w:t xml:space="preserve"> programme areas and support national policy formulation and planning processes and efforts aimed at achieving the development objectives outlined in the NDP 4.  </w:t>
      </w:r>
    </w:p>
    <w:p w:rsidR="00324016" w:rsidRPr="008C368F" w:rsidRDefault="00324016" w:rsidP="00DD450B">
      <w:pPr>
        <w:pStyle w:val="ListParagraph"/>
        <w:ind w:left="1440" w:right="1426" w:hanging="360"/>
        <w:jc w:val="both"/>
        <w:rPr>
          <w:b/>
          <w:color w:val="000000" w:themeColor="text1"/>
          <w:lang w:val="en-GB"/>
        </w:rPr>
      </w:pPr>
    </w:p>
    <w:p w:rsidR="00DD450B" w:rsidRPr="008C368F" w:rsidRDefault="00A578C0" w:rsidP="00DD450B">
      <w:pPr>
        <w:pStyle w:val="ListParagraph"/>
        <w:ind w:left="1440" w:right="1426" w:hanging="360"/>
        <w:jc w:val="both"/>
        <w:rPr>
          <w:b/>
          <w:color w:val="000000" w:themeColor="text1"/>
          <w:lang w:val="en-GB"/>
        </w:rPr>
      </w:pPr>
      <w:r>
        <w:rPr>
          <w:b/>
          <w:color w:val="000000" w:themeColor="text1"/>
          <w:lang w:val="en-GB"/>
        </w:rPr>
        <w:t xml:space="preserve">Programme Component 3:   Energy and Environmental for Sustainable development, including building Resilience  </w:t>
      </w:r>
    </w:p>
    <w:p w:rsidR="00DD450B" w:rsidRPr="008C368F" w:rsidRDefault="00DD450B" w:rsidP="00DD450B">
      <w:pPr>
        <w:pStyle w:val="ListParagraph"/>
        <w:ind w:left="0" w:right="1426"/>
        <w:jc w:val="both"/>
        <w:rPr>
          <w:b/>
          <w:color w:val="000000" w:themeColor="text1"/>
          <w:lang w:val="en-GB"/>
        </w:rPr>
      </w:pPr>
    </w:p>
    <w:p w:rsidR="004A6ABC" w:rsidRDefault="00A578C0" w:rsidP="004A6ABC">
      <w:pPr>
        <w:pStyle w:val="ListParagraph"/>
        <w:numPr>
          <w:ilvl w:val="0"/>
          <w:numId w:val="9"/>
        </w:numPr>
        <w:ind w:right="1426"/>
        <w:jc w:val="both"/>
        <w:rPr>
          <w:color w:val="000000" w:themeColor="text1"/>
          <w:lang w:val="en-GB"/>
        </w:rPr>
      </w:pPr>
      <w:r>
        <w:rPr>
          <w:color w:val="000000" w:themeColor="text1"/>
          <w:lang w:val="en-GB"/>
        </w:rPr>
        <w:t xml:space="preserve">This area will focus on building resilience so that Namibia can safeguard its developmental gains and pathways from the effects of shocks – natural and economic. </w:t>
      </w:r>
      <w:r w:rsidR="00C10B5E">
        <w:rPr>
          <w:color w:val="000000" w:themeColor="text1"/>
          <w:lang w:val="en-GB"/>
        </w:rPr>
        <w:t>UNDP</w:t>
      </w:r>
      <w:r>
        <w:rPr>
          <w:color w:val="000000" w:themeColor="text1"/>
          <w:lang w:val="en-GB"/>
        </w:rPr>
        <w:t xml:space="preserve"> will assist Namibia to better manage environmental risks and enhance capacities required to advance resilience as outlined in the national development frameworks, with particular emphasis on strengthening national ownership and leadership of institutional mechanisms needed to implement the Environmental Management Act (2007), National Climate Change Policy (2011) and Multilateral Environmental Agreements (MEAs).  The focus of UNDP support will be on strengthening </w:t>
      </w:r>
      <w:r>
        <w:rPr>
          <w:iCs/>
          <w:color w:val="000000" w:themeColor="text1"/>
          <w:lang w:val="en-GB"/>
        </w:rPr>
        <w:t xml:space="preserve">technical and institutional capacities to deal with and manage environmental degradation including climate change adaptation and mitigation.  This will result in </w:t>
      </w:r>
      <w:r w:rsidR="00A220A3" w:rsidRPr="008C368F">
        <w:rPr>
          <w:lang w:val="en-GB"/>
        </w:rPr>
        <w:t>strengthened adaptive capacity and reduced vulnerability</w:t>
      </w:r>
      <w:r w:rsidR="00EE7F64" w:rsidRPr="008C368F">
        <w:rPr>
          <w:lang w:val="en-GB"/>
        </w:rPr>
        <w:t xml:space="preserve"> of households, especially female-, youth- and child-headed households and schools </w:t>
      </w:r>
      <w:r w:rsidR="00A220A3" w:rsidRPr="008C368F">
        <w:rPr>
          <w:lang w:val="en-GB"/>
        </w:rPr>
        <w:t xml:space="preserve">to droughts and floods. </w:t>
      </w:r>
      <w:r w:rsidR="00A220A3" w:rsidRPr="008C368F">
        <w:rPr>
          <w:color w:val="000000" w:themeColor="text1"/>
          <w:lang w:val="en-GB"/>
        </w:rPr>
        <w:t>UNDP will further support environmental brown agenda issues, particularly those related to the extractive, transportation and agricultural industries.</w:t>
      </w:r>
      <w:r w:rsidR="00A220A3" w:rsidRPr="008C368F">
        <w:rPr>
          <w:iCs/>
          <w:color w:val="000000" w:themeColor="text1"/>
          <w:lang w:val="en-GB"/>
        </w:rPr>
        <w:t xml:space="preserve"> </w:t>
      </w:r>
      <w:r w:rsidR="00A220A3" w:rsidRPr="008C368F">
        <w:rPr>
          <w:color w:val="000000" w:themeColor="text1"/>
          <w:lang w:val="en-GB"/>
        </w:rPr>
        <w:t>In line with UNDP’s global thinking, it will augment</w:t>
      </w:r>
      <w:r w:rsidR="00A220A3" w:rsidRPr="008C368F">
        <w:rPr>
          <w:iCs/>
          <w:color w:val="000000" w:themeColor="text1"/>
          <w:lang w:val="en-GB"/>
        </w:rPr>
        <w:t xml:space="preserve"> environmental resilience to sustain provision of ecosystem services and goods as well as enhance environmental governance, management and leadership capacities. Additionally</w:t>
      </w:r>
      <w:r w:rsidR="00EE7F64" w:rsidRPr="008C368F">
        <w:rPr>
          <w:iCs/>
          <w:color w:val="000000" w:themeColor="text1"/>
          <w:lang w:val="en-GB"/>
        </w:rPr>
        <w:t>,</w:t>
      </w:r>
      <w:r w:rsidR="00A220A3" w:rsidRPr="008C368F">
        <w:rPr>
          <w:iCs/>
          <w:color w:val="000000" w:themeColor="text1"/>
          <w:lang w:val="en-GB"/>
        </w:rPr>
        <w:t xml:space="preserve"> it </w:t>
      </w:r>
      <w:r w:rsidR="00EE7F64" w:rsidRPr="008C368F">
        <w:rPr>
          <w:iCs/>
          <w:color w:val="000000" w:themeColor="text1"/>
          <w:lang w:val="en-GB"/>
        </w:rPr>
        <w:t xml:space="preserve">will </w:t>
      </w:r>
      <w:r>
        <w:rPr>
          <w:iCs/>
          <w:color w:val="000000" w:themeColor="text1"/>
          <w:lang w:val="en-GB"/>
        </w:rPr>
        <w:t xml:space="preserve">augment </w:t>
      </w:r>
      <w:r w:rsidR="00A220A3" w:rsidRPr="008C368F">
        <w:rPr>
          <w:lang w:val="en-GB"/>
        </w:rPr>
        <w:t xml:space="preserve">greater conservation security to the national protected area system that has recently expanded by 33,530 sq km, and </w:t>
      </w:r>
      <w:r w:rsidR="00EE7F64" w:rsidRPr="008C368F">
        <w:rPr>
          <w:lang w:val="en-GB"/>
        </w:rPr>
        <w:t xml:space="preserve">the </w:t>
      </w:r>
      <w:r w:rsidR="00A220A3" w:rsidRPr="008C368F">
        <w:rPr>
          <w:lang w:val="en-GB"/>
        </w:rPr>
        <w:t xml:space="preserve">network of </w:t>
      </w:r>
      <w:r w:rsidR="00EE7F64" w:rsidRPr="008C368F">
        <w:rPr>
          <w:lang w:val="en-GB"/>
        </w:rPr>
        <w:t>c</w:t>
      </w:r>
      <w:r w:rsidR="00A220A3" w:rsidRPr="008C368F">
        <w:rPr>
          <w:lang w:val="en-GB"/>
        </w:rPr>
        <w:t xml:space="preserve">ommunal </w:t>
      </w:r>
      <w:r w:rsidR="00EE7F64" w:rsidRPr="008C368F">
        <w:rPr>
          <w:lang w:val="en-GB"/>
        </w:rPr>
        <w:t>c</w:t>
      </w:r>
      <w:r w:rsidR="00A220A3" w:rsidRPr="008C368F">
        <w:rPr>
          <w:lang w:val="en-GB"/>
        </w:rPr>
        <w:t>onservancies on communal lands that has also expanded by an additional 30,837 sq km with more than 66 new conservancies registered to date</w:t>
      </w:r>
      <w:r w:rsidR="004A6ABC">
        <w:rPr>
          <w:color w:val="000000" w:themeColor="text1"/>
          <w:lang w:val="en-GB"/>
        </w:rPr>
        <w:t xml:space="preserve">. </w:t>
      </w:r>
    </w:p>
    <w:p w:rsidR="004A6ABC" w:rsidRPr="004A6ABC" w:rsidRDefault="004A6ABC" w:rsidP="004A6ABC">
      <w:pPr>
        <w:ind w:left="1080" w:right="1426"/>
        <w:jc w:val="both"/>
        <w:rPr>
          <w:color w:val="000000" w:themeColor="text1"/>
          <w:lang w:val="en-GB"/>
        </w:rPr>
      </w:pPr>
    </w:p>
    <w:p w:rsidR="004A6ABC" w:rsidRPr="008C368F" w:rsidRDefault="004A6ABC" w:rsidP="004A6ABC">
      <w:pPr>
        <w:pStyle w:val="ListParagraph"/>
        <w:ind w:left="1440" w:right="1426" w:hanging="360"/>
        <w:jc w:val="both"/>
        <w:rPr>
          <w:b/>
          <w:color w:val="000000" w:themeColor="text1"/>
          <w:lang w:val="en-GB"/>
        </w:rPr>
      </w:pPr>
      <w:r w:rsidRPr="008C368F">
        <w:rPr>
          <w:b/>
          <w:color w:val="000000" w:themeColor="text1"/>
          <w:lang w:val="en-GB"/>
        </w:rPr>
        <w:t>IV.</w:t>
      </w:r>
      <w:r w:rsidRPr="008C368F">
        <w:rPr>
          <w:b/>
          <w:color w:val="000000" w:themeColor="text1"/>
          <w:lang w:val="en-GB"/>
        </w:rPr>
        <w:tab/>
        <w:t>Programme management, monitoring and evaluation</w:t>
      </w:r>
    </w:p>
    <w:p w:rsidR="004A6ABC" w:rsidRDefault="004A6ABC" w:rsidP="004A6ABC">
      <w:pPr>
        <w:pStyle w:val="ListParagraph"/>
        <w:ind w:left="1440" w:right="1426"/>
        <w:jc w:val="both"/>
        <w:rPr>
          <w:color w:val="000000" w:themeColor="text1"/>
          <w:lang w:val="en-GB"/>
        </w:rPr>
      </w:pPr>
    </w:p>
    <w:p w:rsidR="00DD450B" w:rsidRPr="003D2B3C" w:rsidRDefault="005475A1" w:rsidP="003D2B3C">
      <w:pPr>
        <w:pStyle w:val="ListParagraph"/>
        <w:numPr>
          <w:ilvl w:val="0"/>
          <w:numId w:val="9"/>
        </w:numPr>
        <w:ind w:right="1426"/>
        <w:jc w:val="both"/>
        <w:rPr>
          <w:color w:val="000000" w:themeColor="text1"/>
          <w:lang w:val="en-GB"/>
        </w:rPr>
      </w:pPr>
      <w:r>
        <w:rPr>
          <w:color w:val="000000" w:themeColor="text1"/>
          <w:lang w:val="en-GB"/>
        </w:rPr>
        <w:t xml:space="preserve">The programme will be nationally executed. </w:t>
      </w:r>
      <w:r w:rsidR="004A6ABC" w:rsidRPr="004A6ABC">
        <w:rPr>
          <w:color w:val="000000" w:themeColor="text1"/>
          <w:lang w:val="en-GB"/>
        </w:rPr>
        <w:t xml:space="preserve">Both internal and external risks will be regularly monitored to minimise their impact on programme interventions. Procurement and financial fiduciary functions will be effected through strengthened NIM and HACT practices, and where exigencies of implementation dictate otherwise, DIM and Fast Track procedures. UNDP will regularly assess its internal human resources and organizational capacities in order to remain the preferred development partner to the Government. </w:t>
      </w:r>
      <w:r>
        <w:rPr>
          <w:color w:val="000000" w:themeColor="text1"/>
          <w:lang w:val="en-GB"/>
        </w:rPr>
        <w:t>I</w:t>
      </w:r>
      <w:r w:rsidR="004A6ABC" w:rsidRPr="004A6ABC">
        <w:rPr>
          <w:color w:val="000000" w:themeColor="text1"/>
          <w:lang w:val="en-GB"/>
        </w:rPr>
        <w:t>mplementation and M&amp;E will proceed within institutional arrang</w:t>
      </w:r>
      <w:r>
        <w:rPr>
          <w:color w:val="000000" w:themeColor="text1"/>
          <w:lang w:val="en-GB"/>
        </w:rPr>
        <w:t xml:space="preserve">ements and mechanisms for NDP 4 </w:t>
      </w:r>
      <w:r w:rsidR="004A6ABC" w:rsidRPr="004A6ABC">
        <w:rPr>
          <w:color w:val="000000" w:themeColor="text1"/>
          <w:lang w:val="en-GB"/>
        </w:rPr>
        <w:t xml:space="preserve">and M&amp;E mechanisms at national and sectoral levels. UNDP will actively participate in the four </w:t>
      </w:r>
      <w:r>
        <w:rPr>
          <w:color w:val="000000" w:themeColor="text1"/>
          <w:lang w:val="en-GB"/>
        </w:rPr>
        <w:t xml:space="preserve">UN </w:t>
      </w:r>
      <w:r w:rsidR="004A6ABC" w:rsidRPr="004A6ABC">
        <w:rPr>
          <w:color w:val="000000" w:themeColor="text1"/>
          <w:lang w:val="en-GB"/>
        </w:rPr>
        <w:t>Technical Working Groups which serve as the institutional mechanisms for the UN system’s coordinated participation in the NDP 4 structures. This will ensure adherence to the principles of the new GRN-UN strategic partnership compact of reinforced Government ownership and leadership of national development processes; full use of existing government systems and structures and/or the UN system (where appropriate) in programme and project implementation; leveraging available limited resources while mobilizing additional funds; and the progressive and sequenced move towards a nationally contextualized Delivering as One (</w:t>
      </w:r>
      <w:proofErr w:type="spellStart"/>
      <w:r w:rsidR="004A6ABC" w:rsidRPr="004A6ABC">
        <w:rPr>
          <w:color w:val="000000" w:themeColor="text1"/>
          <w:lang w:val="en-GB"/>
        </w:rPr>
        <w:t>DaO</w:t>
      </w:r>
      <w:proofErr w:type="spellEnd"/>
      <w:r w:rsidR="004A6ABC" w:rsidRPr="004A6ABC">
        <w:rPr>
          <w:color w:val="000000" w:themeColor="text1"/>
          <w:lang w:val="en-GB"/>
        </w:rPr>
        <w:t xml:space="preserve">). UNDP will, in addition to developing and implementing resource mobilization and communication strategies, commission two independent external evaluations of the CPD - at the mid-term and terminal points.  </w:t>
      </w: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8C7649">
      <w:pPr>
        <w:rPr>
          <w:color w:val="000000" w:themeColor="text1"/>
          <w:lang w:val="en-GB"/>
        </w:rPr>
        <w:sectPr w:rsidR="00785474" w:rsidRPr="008C368F" w:rsidSect="00B30EA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rsidR="00785474" w:rsidRPr="008C368F" w:rsidRDefault="00A578C0" w:rsidP="00200195">
      <w:pPr>
        <w:pStyle w:val="Heading4"/>
        <w:spacing w:after="120"/>
        <w:rPr>
          <w:rFonts w:ascii="Times New Roman" w:hAnsi="Times New Roman"/>
          <w:bCs/>
          <w:color w:val="000000" w:themeColor="text1"/>
          <w:sz w:val="18"/>
          <w:szCs w:val="18"/>
          <w:lang w:val="en-GB"/>
        </w:rPr>
      </w:pPr>
      <w:r w:rsidRPr="00A578C0">
        <w:rPr>
          <w:rFonts w:ascii="Times New Roman" w:hAnsi="Times New Roman"/>
          <w:bCs/>
          <w:color w:val="000000" w:themeColor="text1"/>
          <w:sz w:val="18"/>
          <w:szCs w:val="18"/>
          <w:lang w:val="en-GB"/>
        </w:rPr>
        <w:lastRenderedPageBreak/>
        <w:t xml:space="preserve">ANNEX. RESULTS AND RESOURCES FRAMEWORK </w:t>
      </w:r>
    </w:p>
    <w:tbl>
      <w:tblPr>
        <w:tblW w:w="7561" w:type="pct"/>
        <w:tblInd w:w="144" w:type="dxa"/>
        <w:tblLayout w:type="fixed"/>
        <w:tblCellMar>
          <w:left w:w="0" w:type="dxa"/>
          <w:right w:w="0" w:type="dxa"/>
        </w:tblCellMar>
        <w:tblLook w:val="00A0"/>
      </w:tblPr>
      <w:tblGrid>
        <w:gridCol w:w="2073"/>
        <w:gridCol w:w="1796"/>
        <w:gridCol w:w="96"/>
        <w:gridCol w:w="1891"/>
        <w:gridCol w:w="176"/>
        <w:gridCol w:w="3710"/>
        <w:gridCol w:w="2204"/>
        <w:gridCol w:w="1358"/>
        <w:gridCol w:w="1358"/>
        <w:gridCol w:w="1358"/>
        <w:gridCol w:w="1358"/>
        <w:gridCol w:w="1358"/>
        <w:gridCol w:w="1298"/>
      </w:tblGrid>
      <w:tr w:rsidR="00073263" w:rsidRPr="005E7FF3" w:rsidTr="003105C9">
        <w:trPr>
          <w:gridAfter w:val="5"/>
          <w:wAfter w:w="1680" w:type="pct"/>
          <w:trHeight w:val="151"/>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A6360" w:rsidP="005E7FF3">
            <w:pPr>
              <w:rPr>
                <w:color w:val="000000" w:themeColor="text1"/>
                <w:sz w:val="18"/>
                <w:szCs w:val="18"/>
                <w:lang w:val="en-GB"/>
              </w:rPr>
            </w:pPr>
            <w:r w:rsidRPr="00994D78">
              <w:rPr>
                <w:b/>
                <w:bCs/>
                <w:color w:val="000000" w:themeColor="text1"/>
                <w:sz w:val="18"/>
                <w:szCs w:val="18"/>
                <w:lang w:val="en-GB"/>
              </w:rPr>
              <w:t xml:space="preserve">NATIONAL PRIORITY OR GOAL: </w:t>
            </w:r>
            <w:r w:rsidRPr="00994D78">
              <w:rPr>
                <w:iCs/>
                <w:color w:val="000000" w:themeColor="text1"/>
                <w:sz w:val="18"/>
                <w:szCs w:val="18"/>
                <w:lang w:val="en-GB"/>
              </w:rPr>
              <w:t>By 2017, Namibia is the most competitive economy in the SADC region, according to the standards set by the World Economic Forum.</w:t>
            </w:r>
          </w:p>
        </w:tc>
      </w:tr>
      <w:tr w:rsidR="00073263" w:rsidRPr="005E7FF3" w:rsidTr="003105C9">
        <w:trPr>
          <w:gridAfter w:val="5"/>
          <w:wAfter w:w="1680" w:type="pct"/>
          <w:trHeight w:val="286"/>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B699E">
            <w:pPr>
              <w:autoSpaceDE w:val="0"/>
              <w:autoSpaceDN w:val="0"/>
              <w:adjustRightInd w:val="0"/>
              <w:rPr>
                <w:color w:val="000000" w:themeColor="text1"/>
                <w:sz w:val="18"/>
                <w:szCs w:val="18"/>
                <w:lang w:val="en-GB"/>
              </w:rPr>
            </w:pPr>
            <w:r w:rsidRPr="00994D78">
              <w:rPr>
                <w:b/>
                <w:bCs/>
                <w:color w:val="000000" w:themeColor="text1"/>
                <w:sz w:val="18"/>
                <w:szCs w:val="18"/>
                <w:lang w:val="en-GB"/>
              </w:rPr>
              <w:t>UNPAF / COUNTRY PROGRAMME OUTCOME:</w:t>
            </w:r>
            <w:r w:rsidRPr="00994D78">
              <w:rPr>
                <w:color w:val="000000" w:themeColor="text1"/>
                <w:sz w:val="18"/>
                <w:szCs w:val="18"/>
                <w:lang w:val="en-GB"/>
              </w:rPr>
              <w:t xml:space="preserve">  By 2018, policies and legislative </w:t>
            </w:r>
            <w:r w:rsidR="005A6360" w:rsidRPr="00994D78">
              <w:rPr>
                <w:color w:val="000000" w:themeColor="text1"/>
                <w:sz w:val="18"/>
                <w:szCs w:val="18"/>
                <w:lang w:val="en-GB"/>
              </w:rPr>
              <w:t>frameworks to ensure transparency, accountability, effective oversight and people’s participation in the management of public affairs are in place and are being implemented.</w:t>
            </w:r>
            <w:r w:rsidRPr="00994D78">
              <w:rPr>
                <w:color w:val="000000" w:themeColor="text1"/>
                <w:sz w:val="18"/>
                <w:szCs w:val="18"/>
                <w:lang w:val="en-GB"/>
              </w:rPr>
              <w:t xml:space="preserve"> </w:t>
            </w:r>
            <w:r w:rsidRPr="00994D78">
              <w:rPr>
                <w:b/>
                <w:bCs/>
                <w:color w:val="000000" w:themeColor="text1"/>
                <w:sz w:val="18"/>
                <w:szCs w:val="18"/>
                <w:lang w:val="en-GB"/>
              </w:rPr>
              <w:t xml:space="preserve">Outcome indicator: </w:t>
            </w:r>
            <w:r w:rsidRPr="00994D78">
              <w:rPr>
                <w:color w:val="000000" w:themeColor="text1"/>
                <w:sz w:val="18"/>
                <w:szCs w:val="18"/>
                <w:lang w:val="en-GB"/>
              </w:rPr>
              <w:t xml:space="preserve">% of </w:t>
            </w:r>
            <w:r w:rsidR="004B699E" w:rsidRPr="00994D78">
              <w:rPr>
                <w:color w:val="000000" w:themeColor="text1"/>
                <w:sz w:val="18"/>
                <w:szCs w:val="18"/>
                <w:lang w:val="en-GB"/>
              </w:rPr>
              <w:t>policies and laws that promote transparency, accountability, oversight and people’s participation formulated.</w:t>
            </w:r>
            <w:r w:rsidR="00A578C0"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Programme Component 1: </w:t>
            </w:r>
            <w:r w:rsidR="00A578C0" w:rsidRPr="00994D78">
              <w:rPr>
                <w:bCs/>
                <w:color w:val="000000" w:themeColor="text1"/>
                <w:sz w:val="18"/>
                <w:szCs w:val="18"/>
                <w:lang w:val="en-GB"/>
              </w:rPr>
              <w:t>Democratic Governance</w:t>
            </w:r>
          </w:p>
        </w:tc>
      </w:tr>
      <w:tr w:rsidR="00994D78" w:rsidRPr="005E7FF3" w:rsidTr="003105C9">
        <w:trPr>
          <w:gridAfter w:val="5"/>
          <w:wAfter w:w="1680" w:type="pct"/>
          <w:trHeight w:val="1042"/>
        </w:trPr>
        <w:tc>
          <w:tcPr>
            <w:tcW w:w="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GOVERNMENT PARTNER CONTRIBUTION</w:t>
            </w:r>
          </w:p>
        </w:tc>
        <w:tc>
          <w:tcPr>
            <w:tcW w:w="472"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OTHER PARTNER CONTRIBUTIONS</w:t>
            </w:r>
          </w:p>
        </w:tc>
        <w:tc>
          <w:tcPr>
            <w:tcW w:w="472"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UNDP CONTRIBUTION</w:t>
            </w:r>
          </w:p>
        </w:tc>
        <w:tc>
          <w:tcPr>
            <w:tcW w:w="970"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INDICATOR(S), BASELINES AND TARGET(S) FOR UNDP CONTRIBUTIONS</w:t>
            </w:r>
          </w:p>
        </w:tc>
        <w:tc>
          <w:tcPr>
            <w:tcW w:w="550"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INDICATIVE COUNTRY PROGRAMME OUTPUTS</w:t>
            </w:r>
          </w:p>
        </w:tc>
        <w:tc>
          <w:tcPr>
            <w:tcW w:w="33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C61B6" w:rsidRPr="00994D78" w:rsidRDefault="00A578C0" w:rsidP="00724EF9">
            <w:pPr>
              <w:jc w:val="center"/>
              <w:rPr>
                <w:color w:val="000000" w:themeColor="text1"/>
                <w:sz w:val="18"/>
                <w:szCs w:val="18"/>
                <w:lang w:val="en-GB"/>
              </w:rPr>
            </w:pPr>
            <w:r w:rsidRPr="00994D78">
              <w:rPr>
                <w:b/>
                <w:bCs/>
                <w:color w:val="000000" w:themeColor="text1"/>
                <w:sz w:val="18"/>
                <w:szCs w:val="18"/>
                <w:lang w:val="en-GB"/>
              </w:rPr>
              <w:t>INDICATIVE RESOURCES BY OUTCOME (US$)</w:t>
            </w:r>
          </w:p>
        </w:tc>
      </w:tr>
      <w:tr w:rsidR="00994D78" w:rsidRPr="005E7FF3" w:rsidTr="003105C9">
        <w:trPr>
          <w:gridAfter w:val="5"/>
          <w:wAfter w:w="1680" w:type="pct"/>
          <w:trHeight w:val="13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Partners:</w:t>
            </w:r>
          </w:p>
          <w:p w:rsidR="000052C0" w:rsidRPr="00994D78" w:rsidRDefault="000052C0" w:rsidP="000E5CD0">
            <w:pPr>
              <w:rPr>
                <w:color w:val="000000" w:themeColor="text1"/>
                <w:sz w:val="18"/>
                <w:szCs w:val="18"/>
                <w:lang w:val="en-GB"/>
              </w:rPr>
            </w:pPr>
            <w:r w:rsidRPr="00994D78">
              <w:rPr>
                <w:color w:val="000000" w:themeColor="text1"/>
                <w:sz w:val="18"/>
                <w:szCs w:val="18"/>
                <w:lang w:val="en-GB"/>
              </w:rPr>
              <w:t xml:space="preserve">Parliament, </w:t>
            </w:r>
            <w:r w:rsidR="001208A9">
              <w:rPr>
                <w:color w:val="000000" w:themeColor="text1"/>
                <w:sz w:val="18"/>
                <w:szCs w:val="18"/>
                <w:lang w:val="en-GB"/>
              </w:rPr>
              <w:t xml:space="preserve">Electoral Commission, </w:t>
            </w:r>
            <w:r w:rsidRPr="00994D78">
              <w:rPr>
                <w:color w:val="000000" w:themeColor="text1"/>
                <w:sz w:val="18"/>
                <w:szCs w:val="18"/>
                <w:lang w:val="en-GB"/>
              </w:rPr>
              <w:t>Office of the Prime Minister, Anti-Corruption Commission, Ministry of Gender Equality and Child Welfare, Office of the Ombudsman and Ministry of Justice Ministry of Health and Social Services</w:t>
            </w:r>
          </w:p>
          <w:p w:rsidR="000052C0" w:rsidRPr="00994D78" w:rsidRDefault="000052C0" w:rsidP="000E5CD0">
            <w:pPr>
              <w:rPr>
                <w:color w:val="000000" w:themeColor="text1"/>
                <w:sz w:val="18"/>
                <w:szCs w:val="18"/>
                <w:lang w:val="en-GB"/>
              </w:rPr>
            </w:pPr>
          </w:p>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Contribution:</w:t>
            </w:r>
          </w:p>
          <w:p w:rsidR="000052C0" w:rsidRPr="00994D78" w:rsidRDefault="00962FD6" w:rsidP="000052C0">
            <w:pPr>
              <w:rPr>
                <w:color w:val="000000" w:themeColor="text1"/>
                <w:sz w:val="18"/>
                <w:szCs w:val="18"/>
                <w:lang w:val="en-GB"/>
              </w:rPr>
            </w:pPr>
            <w:r w:rsidRPr="00994D78">
              <w:rPr>
                <w:color w:val="000000" w:themeColor="text1"/>
                <w:sz w:val="18"/>
                <w:szCs w:val="18"/>
                <w:lang w:val="en-GB"/>
              </w:rPr>
              <w:t xml:space="preserve">Policy direction and </w:t>
            </w:r>
            <w:r w:rsidR="00A5635F" w:rsidRPr="00994D78">
              <w:rPr>
                <w:color w:val="000000" w:themeColor="text1"/>
                <w:sz w:val="18"/>
                <w:szCs w:val="18"/>
                <w:lang w:val="en-GB"/>
              </w:rPr>
              <w:t>leadership</w:t>
            </w:r>
            <w:r w:rsidRPr="00994D78">
              <w:rPr>
                <w:color w:val="000000" w:themeColor="text1"/>
                <w:sz w:val="18"/>
                <w:szCs w:val="18"/>
                <w:lang w:val="en-GB"/>
              </w:rPr>
              <w:t xml:space="preserve"> of the national development process. </w:t>
            </w:r>
          </w:p>
          <w:p w:rsidR="00B61DC8" w:rsidRPr="00994D78" w:rsidRDefault="000052C0" w:rsidP="00013336">
            <w:pPr>
              <w:rPr>
                <w:b/>
                <w:bCs/>
                <w:color w:val="000000" w:themeColor="text1"/>
                <w:sz w:val="18"/>
                <w:szCs w:val="18"/>
                <w:lang w:val="en-GB"/>
              </w:rPr>
            </w:pPr>
            <w:r w:rsidRPr="00994D78">
              <w:rPr>
                <w:color w:val="000000" w:themeColor="text1"/>
                <w:sz w:val="18"/>
                <w:szCs w:val="18"/>
                <w:lang w:val="en-GB"/>
              </w:rPr>
              <w:t>F</w:t>
            </w:r>
            <w:r w:rsidR="00962FD6" w:rsidRPr="00994D78">
              <w:rPr>
                <w:color w:val="000000" w:themeColor="text1"/>
                <w:sz w:val="18"/>
                <w:szCs w:val="18"/>
                <w:lang w:val="en-GB"/>
              </w:rPr>
              <w:t xml:space="preserve">inancial resources for </w:t>
            </w:r>
            <w:r w:rsidR="00A5635F" w:rsidRPr="00994D78">
              <w:rPr>
                <w:color w:val="000000" w:themeColor="text1"/>
                <w:sz w:val="18"/>
                <w:szCs w:val="18"/>
                <w:lang w:val="en-GB"/>
              </w:rPr>
              <w:t xml:space="preserve">policy development, coordination and implementation of </w:t>
            </w:r>
            <w:r w:rsidRPr="00994D78">
              <w:rPr>
                <w:color w:val="000000" w:themeColor="text1"/>
                <w:sz w:val="18"/>
                <w:szCs w:val="18"/>
                <w:lang w:val="en-GB"/>
              </w:rPr>
              <w:t>the various laws</w:t>
            </w:r>
            <w:r w:rsidR="00013336" w:rsidRPr="00994D78">
              <w:rPr>
                <w:color w:val="000000" w:themeColor="text1"/>
                <w:sz w:val="18"/>
                <w:szCs w:val="18"/>
                <w:lang w:val="en-GB"/>
              </w:rPr>
              <w:t xml:space="preserve"> and policies, including the </w:t>
            </w:r>
            <w:r w:rsidR="00B61DC8" w:rsidRPr="00994D78">
              <w:rPr>
                <w:color w:val="000000" w:themeColor="text1"/>
                <w:sz w:val="18"/>
                <w:szCs w:val="18"/>
                <w:lang w:val="en-GB"/>
              </w:rPr>
              <w:t>GBV plan of action</w:t>
            </w:r>
            <w:r w:rsidR="00994D78">
              <w:rPr>
                <w:color w:val="000000" w:themeColor="text1"/>
                <w:sz w:val="18"/>
                <w:szCs w:val="18"/>
                <w:lang w:val="en-GB"/>
              </w:rPr>
              <w:t>.</w:t>
            </w:r>
          </w:p>
        </w:tc>
        <w:tc>
          <w:tcPr>
            <w:tcW w:w="472"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635F" w:rsidP="00A5635F">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NANGOF, Namibia Institute for Democracy, IPPR, CSO, FBOs</w:t>
            </w:r>
          </w:p>
          <w:p w:rsidR="00A5635F" w:rsidRPr="00994D78" w:rsidRDefault="00A5635F" w:rsidP="00A5635F">
            <w:pPr>
              <w:spacing w:after="20"/>
              <w:rPr>
                <w:color w:val="000000" w:themeColor="text1"/>
                <w:sz w:val="18"/>
                <w:szCs w:val="18"/>
                <w:lang w:val="en-GB"/>
              </w:rPr>
            </w:pPr>
          </w:p>
          <w:p w:rsidR="005C61B6" w:rsidRPr="00994D78" w:rsidRDefault="0076626D" w:rsidP="00724EF9">
            <w:pPr>
              <w:rPr>
                <w:bCs/>
                <w:color w:val="000000" w:themeColor="text1"/>
                <w:sz w:val="18"/>
                <w:szCs w:val="18"/>
                <w:u w:val="single"/>
                <w:lang w:val="en-GB"/>
              </w:rPr>
            </w:pPr>
            <w:r w:rsidRPr="00994D78">
              <w:rPr>
                <w:bCs/>
                <w:color w:val="000000" w:themeColor="text1"/>
                <w:sz w:val="18"/>
                <w:szCs w:val="18"/>
                <w:u w:val="single"/>
                <w:lang w:val="en-GB"/>
              </w:rPr>
              <w:t>Contribution:</w:t>
            </w:r>
          </w:p>
          <w:p w:rsidR="0076626D" w:rsidRPr="00994D78" w:rsidRDefault="002A042D" w:rsidP="008C368F">
            <w:pPr>
              <w:rPr>
                <w:bCs/>
                <w:color w:val="000000" w:themeColor="text1"/>
                <w:sz w:val="18"/>
                <w:szCs w:val="18"/>
                <w:lang w:val="en-GB"/>
              </w:rPr>
            </w:pPr>
            <w:r w:rsidRPr="00994D78">
              <w:rPr>
                <w:bCs/>
                <w:color w:val="000000" w:themeColor="text1"/>
                <w:sz w:val="18"/>
                <w:szCs w:val="18"/>
                <w:lang w:val="en-GB"/>
              </w:rPr>
              <w:t xml:space="preserve">To actively participate and </w:t>
            </w:r>
            <w:r w:rsidR="008C368F" w:rsidRPr="00994D78">
              <w:rPr>
                <w:bCs/>
                <w:color w:val="000000" w:themeColor="text1"/>
                <w:sz w:val="18"/>
                <w:szCs w:val="18"/>
                <w:lang w:val="en-GB"/>
              </w:rPr>
              <w:t>s</w:t>
            </w:r>
            <w:r w:rsidRPr="00994D78">
              <w:rPr>
                <w:bCs/>
                <w:color w:val="000000" w:themeColor="text1"/>
                <w:sz w:val="18"/>
                <w:szCs w:val="18"/>
                <w:lang w:val="en-GB"/>
              </w:rPr>
              <w:t xml:space="preserve">upport </w:t>
            </w:r>
            <w:r w:rsidR="008C368F" w:rsidRPr="00994D78">
              <w:rPr>
                <w:bCs/>
                <w:color w:val="000000" w:themeColor="text1"/>
                <w:sz w:val="18"/>
                <w:szCs w:val="18"/>
                <w:lang w:val="en-GB"/>
              </w:rPr>
              <w:t>development</w:t>
            </w:r>
            <w:r w:rsidRPr="00994D78">
              <w:rPr>
                <w:bCs/>
                <w:color w:val="000000" w:themeColor="text1"/>
                <w:sz w:val="18"/>
                <w:szCs w:val="18"/>
                <w:lang w:val="en-GB"/>
              </w:rPr>
              <w:t xml:space="preserve"> initiatives. To provide information, advocacy and oversight</w:t>
            </w:r>
            <w:r w:rsidR="008C368F" w:rsidRPr="00994D78">
              <w:rPr>
                <w:bCs/>
                <w:color w:val="000000" w:themeColor="text1"/>
                <w:sz w:val="18"/>
                <w:szCs w:val="18"/>
                <w:lang w:val="en-GB"/>
              </w:rPr>
              <w:t xml:space="preserve"> functions</w:t>
            </w:r>
            <w:r w:rsidRPr="00994D78">
              <w:rPr>
                <w:bCs/>
                <w:color w:val="000000" w:themeColor="text1"/>
                <w:sz w:val="18"/>
                <w:szCs w:val="18"/>
                <w:lang w:val="en-GB"/>
              </w:rPr>
              <w:t>.</w:t>
            </w:r>
          </w:p>
        </w:tc>
        <w:tc>
          <w:tcPr>
            <w:tcW w:w="472"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4B699E" w:rsidP="00A5635F">
            <w:pPr>
              <w:tabs>
                <w:tab w:val="left" w:pos="342"/>
              </w:tabs>
              <w:spacing w:after="20"/>
              <w:rPr>
                <w:color w:val="000000" w:themeColor="text1"/>
                <w:sz w:val="18"/>
                <w:szCs w:val="18"/>
                <w:lang w:val="en-GB"/>
              </w:rPr>
            </w:pPr>
            <w:r w:rsidRPr="00994D78">
              <w:rPr>
                <w:bCs/>
                <w:color w:val="000000" w:themeColor="text1"/>
                <w:sz w:val="18"/>
                <w:szCs w:val="18"/>
                <w:lang w:val="en-GB"/>
              </w:rPr>
              <w:t xml:space="preserve">Strengthen capacity of government to conduct </w:t>
            </w:r>
            <w:r w:rsidR="00A5635F" w:rsidRPr="00994D78">
              <w:rPr>
                <w:bCs/>
                <w:color w:val="000000" w:themeColor="text1"/>
                <w:sz w:val="18"/>
                <w:szCs w:val="18"/>
                <w:lang w:val="en-GB"/>
              </w:rPr>
              <w:t>policy analysis</w:t>
            </w:r>
            <w:r w:rsidR="00E748EC">
              <w:rPr>
                <w:bCs/>
                <w:color w:val="000000" w:themeColor="text1"/>
                <w:sz w:val="18"/>
                <w:szCs w:val="18"/>
                <w:lang w:val="en-GB"/>
              </w:rPr>
              <w:t xml:space="preserve"> and </w:t>
            </w:r>
            <w:r w:rsidR="00962FD6" w:rsidRPr="00994D78">
              <w:rPr>
                <w:bCs/>
                <w:color w:val="000000" w:themeColor="text1"/>
                <w:sz w:val="18"/>
                <w:szCs w:val="18"/>
                <w:lang w:val="en-GB"/>
              </w:rPr>
              <w:t>formulation</w:t>
            </w:r>
            <w:r w:rsidR="00E748EC">
              <w:rPr>
                <w:bCs/>
                <w:color w:val="000000" w:themeColor="text1"/>
                <w:sz w:val="18"/>
                <w:szCs w:val="18"/>
                <w:lang w:val="en-GB"/>
              </w:rPr>
              <w:t>. S</w:t>
            </w:r>
            <w:r w:rsidR="00A5635F" w:rsidRPr="00994D78">
              <w:rPr>
                <w:bCs/>
                <w:color w:val="000000" w:themeColor="text1"/>
                <w:sz w:val="18"/>
                <w:szCs w:val="18"/>
                <w:lang w:val="en-GB"/>
              </w:rPr>
              <w:t>har</w:t>
            </w:r>
            <w:r w:rsidR="00962FD6" w:rsidRPr="00994D78">
              <w:rPr>
                <w:bCs/>
                <w:color w:val="000000" w:themeColor="text1"/>
                <w:sz w:val="18"/>
                <w:szCs w:val="18"/>
                <w:lang w:val="en-GB"/>
              </w:rPr>
              <w:t xml:space="preserve">ing of </w:t>
            </w:r>
            <w:r w:rsidR="00A5635F" w:rsidRPr="00994D78">
              <w:rPr>
                <w:bCs/>
                <w:color w:val="000000" w:themeColor="text1"/>
                <w:sz w:val="18"/>
                <w:szCs w:val="18"/>
                <w:lang w:val="en-GB"/>
              </w:rPr>
              <w:t>regional and international experiences</w:t>
            </w:r>
            <w:r w:rsidR="00962FD6" w:rsidRPr="00994D78">
              <w:rPr>
                <w:bCs/>
                <w:color w:val="000000" w:themeColor="text1"/>
                <w:sz w:val="18"/>
                <w:szCs w:val="18"/>
                <w:lang w:val="en-GB"/>
              </w:rPr>
              <w:t xml:space="preserve"> </w:t>
            </w:r>
            <w:r w:rsidR="00E748EC" w:rsidRPr="00994D78">
              <w:rPr>
                <w:bCs/>
                <w:color w:val="000000" w:themeColor="text1"/>
                <w:sz w:val="18"/>
                <w:szCs w:val="18"/>
                <w:lang w:val="en-GB"/>
              </w:rPr>
              <w:t xml:space="preserve">and best practices </w:t>
            </w:r>
            <w:r w:rsidR="00E748EC">
              <w:rPr>
                <w:bCs/>
                <w:color w:val="000000" w:themeColor="text1"/>
                <w:sz w:val="18"/>
                <w:szCs w:val="18"/>
                <w:lang w:val="en-GB"/>
              </w:rPr>
              <w:t xml:space="preserve">(south-south and triangular) </w:t>
            </w:r>
            <w:r w:rsidR="00962FD6" w:rsidRPr="00994D78">
              <w:rPr>
                <w:bCs/>
                <w:color w:val="000000" w:themeColor="text1"/>
                <w:sz w:val="18"/>
                <w:szCs w:val="18"/>
                <w:lang w:val="en-GB"/>
              </w:rPr>
              <w:t xml:space="preserve">on policy and legislative reforms for improved </w:t>
            </w:r>
            <w:r w:rsidRPr="00994D78">
              <w:rPr>
                <w:bCs/>
                <w:color w:val="000000" w:themeColor="text1"/>
                <w:sz w:val="18"/>
                <w:szCs w:val="18"/>
                <w:lang w:val="en-GB"/>
              </w:rPr>
              <w:t>accountability and transparency</w:t>
            </w:r>
            <w:r w:rsidR="00E748EC">
              <w:rPr>
                <w:bCs/>
                <w:color w:val="000000" w:themeColor="text1"/>
                <w:sz w:val="18"/>
                <w:szCs w:val="18"/>
                <w:lang w:val="en-GB"/>
              </w:rPr>
              <w:t>.</w:t>
            </w:r>
            <w:r w:rsidRPr="00994D78">
              <w:rPr>
                <w:bCs/>
                <w:color w:val="000000" w:themeColor="text1"/>
                <w:sz w:val="18"/>
                <w:szCs w:val="18"/>
                <w:lang w:val="en-GB"/>
              </w:rPr>
              <w:t xml:space="preserve"> </w:t>
            </w:r>
            <w:r w:rsidR="00A5635F" w:rsidRPr="00994D78">
              <w:rPr>
                <w:color w:val="000000" w:themeColor="text1"/>
                <w:sz w:val="18"/>
                <w:szCs w:val="18"/>
                <w:lang w:val="en-GB"/>
              </w:rPr>
              <w:t xml:space="preserve">UNDP will further provide technical support </w:t>
            </w:r>
            <w:r w:rsidR="00777563" w:rsidRPr="00994D78">
              <w:rPr>
                <w:color w:val="000000" w:themeColor="text1"/>
                <w:sz w:val="18"/>
                <w:szCs w:val="18"/>
                <w:lang w:val="en-GB"/>
              </w:rPr>
              <w:t xml:space="preserve">for the </w:t>
            </w:r>
            <w:r w:rsidR="00A5635F" w:rsidRPr="00994D78">
              <w:rPr>
                <w:color w:val="000000" w:themeColor="text1"/>
                <w:sz w:val="18"/>
                <w:szCs w:val="18"/>
                <w:lang w:val="en-GB"/>
              </w:rPr>
              <w:t>implement</w:t>
            </w:r>
            <w:r w:rsidR="00777563" w:rsidRPr="00994D78">
              <w:rPr>
                <w:color w:val="000000" w:themeColor="text1"/>
                <w:sz w:val="18"/>
                <w:szCs w:val="18"/>
                <w:lang w:val="en-GB"/>
              </w:rPr>
              <w:t xml:space="preserve">ation of the </w:t>
            </w:r>
            <w:r w:rsidR="00A5635F" w:rsidRPr="00994D78">
              <w:rPr>
                <w:color w:val="000000" w:themeColor="text1"/>
                <w:sz w:val="18"/>
                <w:szCs w:val="18"/>
                <w:lang w:val="en-GB"/>
              </w:rPr>
              <w:t xml:space="preserve">GBV plan of action and coordination mechanisms </w:t>
            </w:r>
            <w:r w:rsidR="00777563" w:rsidRPr="00994D78">
              <w:rPr>
                <w:color w:val="000000" w:themeColor="text1"/>
                <w:sz w:val="18"/>
                <w:szCs w:val="18"/>
                <w:lang w:val="en-GB"/>
              </w:rPr>
              <w:t xml:space="preserve">for sustained </w:t>
            </w:r>
            <w:r w:rsidR="00033DCE">
              <w:rPr>
                <w:color w:val="000000" w:themeColor="text1"/>
                <w:sz w:val="18"/>
                <w:szCs w:val="18"/>
                <w:lang w:val="en-GB"/>
              </w:rPr>
              <w:t>HIV/</w:t>
            </w:r>
            <w:r w:rsidR="00A5635F" w:rsidRPr="00994D78">
              <w:rPr>
                <w:color w:val="000000" w:themeColor="text1"/>
                <w:sz w:val="18"/>
                <w:szCs w:val="18"/>
                <w:lang w:val="en-GB"/>
              </w:rPr>
              <w:t>AIDS response</w:t>
            </w:r>
            <w:r w:rsidR="00E748EC">
              <w:rPr>
                <w:color w:val="000000" w:themeColor="text1"/>
                <w:sz w:val="18"/>
                <w:szCs w:val="18"/>
                <w:lang w:val="en-GB"/>
              </w:rPr>
              <w:t>.</w:t>
            </w:r>
          </w:p>
          <w:p w:rsidR="00A5635F" w:rsidRPr="00994D78" w:rsidRDefault="00A5635F" w:rsidP="00A5635F">
            <w:pPr>
              <w:tabs>
                <w:tab w:val="left" w:pos="342"/>
              </w:tabs>
              <w:spacing w:after="20"/>
              <w:rPr>
                <w:color w:val="000000" w:themeColor="text1"/>
                <w:sz w:val="18"/>
                <w:szCs w:val="18"/>
                <w:lang w:val="en-GB"/>
              </w:rPr>
            </w:pPr>
          </w:p>
          <w:p w:rsidR="005C61B6" w:rsidRPr="00994D78" w:rsidRDefault="005C61B6" w:rsidP="008C3D97">
            <w:pPr>
              <w:spacing w:after="20"/>
              <w:rPr>
                <w:b/>
                <w:bCs/>
                <w:color w:val="000000" w:themeColor="text1"/>
                <w:sz w:val="18"/>
                <w:szCs w:val="18"/>
                <w:lang w:val="en-GB"/>
              </w:rPr>
            </w:pPr>
          </w:p>
        </w:tc>
        <w:tc>
          <w:tcPr>
            <w:tcW w:w="970"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F6B00">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777563" w:rsidRPr="00994D78">
              <w:rPr>
                <w:color w:val="000000" w:themeColor="text1"/>
                <w:sz w:val="18"/>
                <w:szCs w:val="18"/>
                <w:lang w:val="en-GB"/>
              </w:rPr>
              <w:t>Number of national strategies and action plans to fight corruption</w:t>
            </w:r>
            <w:r w:rsidRPr="00994D78">
              <w:rPr>
                <w:color w:val="000000" w:themeColor="text1"/>
                <w:sz w:val="18"/>
                <w:szCs w:val="18"/>
                <w:lang w:val="en-GB"/>
              </w:rPr>
              <w:t xml:space="preserve">. </w:t>
            </w:r>
            <w:r w:rsidRPr="00994D78">
              <w:rPr>
                <w:b/>
                <w:color w:val="000000" w:themeColor="text1"/>
                <w:sz w:val="18"/>
                <w:szCs w:val="18"/>
                <w:lang w:val="en-GB"/>
              </w:rPr>
              <w:t>Baseline 1:</w:t>
            </w:r>
            <w:r w:rsidRPr="00994D78">
              <w:rPr>
                <w:color w:val="000000" w:themeColor="text1"/>
                <w:sz w:val="18"/>
                <w:szCs w:val="18"/>
                <w:lang w:val="en-GB"/>
              </w:rPr>
              <w:t xml:space="preserve"> (2012) No </w:t>
            </w:r>
            <w:r w:rsidR="00777563" w:rsidRPr="00994D78">
              <w:rPr>
                <w:color w:val="000000" w:themeColor="text1"/>
                <w:sz w:val="18"/>
                <w:szCs w:val="18"/>
                <w:lang w:val="en-GB"/>
              </w:rPr>
              <w:t>Anti-</w:t>
            </w:r>
            <w:r w:rsidR="004A5C1C" w:rsidRPr="00994D78">
              <w:rPr>
                <w:color w:val="000000" w:themeColor="text1"/>
                <w:sz w:val="18"/>
                <w:szCs w:val="18"/>
                <w:lang w:val="en-GB"/>
              </w:rPr>
              <w:t>C</w:t>
            </w:r>
            <w:r w:rsidR="00777563" w:rsidRPr="00994D78">
              <w:rPr>
                <w:color w:val="000000" w:themeColor="text1"/>
                <w:sz w:val="18"/>
                <w:szCs w:val="18"/>
                <w:lang w:val="en-GB"/>
              </w:rPr>
              <w:t xml:space="preserve">orruption </w:t>
            </w:r>
            <w:r w:rsidR="004A5C1C" w:rsidRPr="00994D78">
              <w:rPr>
                <w:color w:val="000000" w:themeColor="text1"/>
                <w:sz w:val="18"/>
                <w:szCs w:val="18"/>
                <w:lang w:val="en-GB"/>
              </w:rPr>
              <w:t xml:space="preserve">Strategy and Action Plan in place. </w:t>
            </w:r>
            <w:r w:rsidRPr="00994D78">
              <w:rPr>
                <w:b/>
                <w:color w:val="000000" w:themeColor="text1"/>
                <w:sz w:val="18"/>
                <w:szCs w:val="18"/>
                <w:lang w:val="en-GB"/>
              </w:rPr>
              <w:t>Target 1:</w:t>
            </w:r>
            <w:r w:rsidRPr="00994D78">
              <w:rPr>
                <w:color w:val="000000" w:themeColor="text1"/>
                <w:sz w:val="18"/>
                <w:szCs w:val="18"/>
                <w:lang w:val="en-GB"/>
              </w:rPr>
              <w:t xml:space="preserve"> Anti-Corruption Strategy and Action Plan developed and implemented in at least three sectors</w:t>
            </w:r>
            <w:r w:rsidR="004A5C1C" w:rsidRPr="00994D78">
              <w:rPr>
                <w:color w:val="000000" w:themeColor="text1"/>
                <w:sz w:val="18"/>
                <w:szCs w:val="18"/>
                <w:lang w:val="en-GB"/>
              </w:rPr>
              <w:t>.</w:t>
            </w:r>
            <w:r w:rsidR="000E5CD0" w:rsidRPr="00994D78">
              <w:rPr>
                <w:color w:val="000000" w:themeColor="text1"/>
                <w:sz w:val="18"/>
                <w:szCs w:val="18"/>
                <w:lang w:val="en-GB"/>
              </w:rPr>
              <w:t xml:space="preserve"> </w:t>
            </w:r>
            <w:r w:rsidRPr="00994D78">
              <w:rPr>
                <w:b/>
                <w:color w:val="000000" w:themeColor="text1"/>
                <w:sz w:val="18"/>
                <w:szCs w:val="18"/>
                <w:lang w:val="en-GB"/>
              </w:rPr>
              <w:t>Indicator 2:</w:t>
            </w:r>
            <w:r w:rsidRPr="00994D78">
              <w:rPr>
                <w:color w:val="000000" w:themeColor="text1"/>
                <w:sz w:val="18"/>
                <w:szCs w:val="18"/>
                <w:lang w:val="en-GB"/>
              </w:rPr>
              <w:t xml:space="preserve"> Number of O/M/As complying with human rights standards and norms</w:t>
            </w:r>
            <w:r w:rsidR="004A5C1C" w:rsidRPr="00994D78">
              <w:rPr>
                <w:color w:val="000000" w:themeColor="text1"/>
                <w:sz w:val="18"/>
                <w:szCs w:val="18"/>
                <w:lang w:val="en-GB"/>
              </w:rPr>
              <w:t>.</w:t>
            </w:r>
            <w:r w:rsidRPr="00994D78">
              <w:rPr>
                <w:b/>
                <w:color w:val="000000" w:themeColor="text1"/>
                <w:sz w:val="18"/>
                <w:szCs w:val="18"/>
                <w:lang w:val="en-GB"/>
              </w:rPr>
              <w:t xml:space="preserve"> Baseline 2:</w:t>
            </w:r>
            <w:r w:rsidRPr="00994D78">
              <w:rPr>
                <w:color w:val="000000" w:themeColor="text1"/>
                <w:sz w:val="18"/>
                <w:szCs w:val="18"/>
                <w:lang w:val="en-GB"/>
              </w:rPr>
              <w:t xml:space="preserve"> (2012)</w:t>
            </w:r>
            <w:r w:rsidR="00777563" w:rsidRPr="00994D78">
              <w:rPr>
                <w:color w:val="000000" w:themeColor="text1"/>
                <w:sz w:val="18"/>
                <w:szCs w:val="18"/>
                <w:lang w:val="en-GB"/>
              </w:rPr>
              <w:t xml:space="preserve"> </w:t>
            </w:r>
            <w:r w:rsidR="006C0EE5" w:rsidRPr="00994D78">
              <w:rPr>
                <w:color w:val="000000" w:themeColor="text1"/>
                <w:sz w:val="18"/>
                <w:szCs w:val="18"/>
                <w:lang w:val="en-GB"/>
              </w:rPr>
              <w:t>N</w:t>
            </w:r>
            <w:r w:rsidR="00777563" w:rsidRPr="00994D78">
              <w:rPr>
                <w:color w:val="000000" w:themeColor="text1"/>
                <w:sz w:val="18"/>
                <w:szCs w:val="18"/>
                <w:lang w:val="en-GB"/>
              </w:rPr>
              <w:t xml:space="preserve">o </w:t>
            </w:r>
            <w:r w:rsidRPr="00994D78">
              <w:rPr>
                <w:color w:val="000000" w:themeColor="text1"/>
                <w:sz w:val="18"/>
                <w:szCs w:val="18"/>
                <w:lang w:val="en-GB"/>
              </w:rPr>
              <w:t xml:space="preserve">O/M/As </w:t>
            </w:r>
            <w:r w:rsidR="00777563" w:rsidRPr="00994D78">
              <w:rPr>
                <w:color w:val="000000" w:themeColor="text1"/>
                <w:sz w:val="18"/>
                <w:szCs w:val="18"/>
                <w:lang w:val="en-GB"/>
              </w:rPr>
              <w:t>complying with human rights standards and norms.</w:t>
            </w:r>
            <w:r w:rsidRPr="00994D78">
              <w:rPr>
                <w:b/>
                <w:color w:val="000000" w:themeColor="text1"/>
                <w:sz w:val="18"/>
                <w:szCs w:val="18"/>
                <w:lang w:val="en-GB"/>
              </w:rPr>
              <w:t xml:space="preserve"> Target 2:</w:t>
            </w:r>
            <w:r w:rsidRPr="00994D78">
              <w:rPr>
                <w:color w:val="000000" w:themeColor="text1"/>
                <w:sz w:val="18"/>
                <w:szCs w:val="18"/>
                <w:lang w:val="en-GB"/>
              </w:rPr>
              <w:t xml:space="preserve"> At least 50% of O/M/As complying with human rights standards and norms.</w:t>
            </w:r>
            <w:r w:rsidR="000E5CD0" w:rsidRPr="00994D78">
              <w:rPr>
                <w:color w:val="000000" w:themeColor="text1"/>
                <w:sz w:val="18"/>
                <w:szCs w:val="18"/>
                <w:lang w:val="en-GB"/>
              </w:rPr>
              <w:t xml:space="preserve"> </w:t>
            </w:r>
            <w:r w:rsidR="00777563" w:rsidRPr="00994D78">
              <w:rPr>
                <w:b/>
                <w:color w:val="000000" w:themeColor="text1"/>
                <w:sz w:val="18"/>
                <w:szCs w:val="18"/>
                <w:lang w:val="en-GB"/>
              </w:rPr>
              <w:t xml:space="preserve">Indicator </w:t>
            </w:r>
            <w:r w:rsidR="006C0EE5" w:rsidRPr="00994D78">
              <w:rPr>
                <w:b/>
                <w:color w:val="000000" w:themeColor="text1"/>
                <w:sz w:val="18"/>
                <w:szCs w:val="18"/>
                <w:lang w:val="en-GB"/>
              </w:rPr>
              <w:t>3</w:t>
            </w:r>
            <w:r w:rsidR="00777563" w:rsidRPr="00994D78">
              <w:rPr>
                <w:color w:val="000000" w:themeColor="text1"/>
                <w:sz w:val="18"/>
                <w:szCs w:val="18"/>
                <w:lang w:val="en-GB"/>
              </w:rPr>
              <w:t xml:space="preserve">: % of regions and stakeholders implementing GBV Action Plan. </w:t>
            </w:r>
            <w:r w:rsidR="00777563" w:rsidRPr="00994D78">
              <w:rPr>
                <w:b/>
                <w:color w:val="000000" w:themeColor="text1"/>
                <w:sz w:val="18"/>
                <w:szCs w:val="18"/>
                <w:lang w:val="en-GB"/>
              </w:rPr>
              <w:t xml:space="preserve">Baseline </w:t>
            </w:r>
            <w:r w:rsidR="006C0EE5" w:rsidRPr="00994D78">
              <w:rPr>
                <w:b/>
                <w:color w:val="000000" w:themeColor="text1"/>
                <w:sz w:val="18"/>
                <w:szCs w:val="18"/>
                <w:lang w:val="en-GB"/>
              </w:rPr>
              <w:t>3</w:t>
            </w:r>
            <w:r w:rsidR="00777563" w:rsidRPr="00994D78">
              <w:rPr>
                <w:color w:val="000000" w:themeColor="text1"/>
                <w:sz w:val="18"/>
                <w:szCs w:val="18"/>
                <w:lang w:val="en-GB"/>
              </w:rPr>
              <w:t xml:space="preserve">: GBV Action Plan not yet implemented. </w:t>
            </w:r>
            <w:r w:rsidRPr="00994D78">
              <w:rPr>
                <w:b/>
                <w:color w:val="000000" w:themeColor="text1"/>
                <w:sz w:val="18"/>
                <w:szCs w:val="18"/>
                <w:lang w:val="en-GB"/>
              </w:rPr>
              <w:t xml:space="preserve">Target </w:t>
            </w:r>
            <w:r w:rsidR="006C0EE5" w:rsidRPr="00994D78">
              <w:rPr>
                <w:b/>
                <w:color w:val="000000" w:themeColor="text1"/>
                <w:sz w:val="18"/>
                <w:szCs w:val="18"/>
                <w:lang w:val="en-GB"/>
              </w:rPr>
              <w:t>3</w:t>
            </w:r>
            <w:r w:rsidRPr="00994D78">
              <w:rPr>
                <w:color w:val="000000" w:themeColor="text1"/>
                <w:sz w:val="18"/>
                <w:szCs w:val="18"/>
                <w:lang w:val="en-GB"/>
              </w:rPr>
              <w:t xml:space="preserve">: </w:t>
            </w:r>
            <w:r w:rsidR="00994D78">
              <w:rPr>
                <w:color w:val="000000" w:themeColor="text1"/>
                <w:sz w:val="18"/>
                <w:szCs w:val="18"/>
                <w:lang w:val="en-GB"/>
              </w:rPr>
              <w:t>100% of r</w:t>
            </w:r>
            <w:r w:rsidR="00D92AAE" w:rsidRPr="00994D78">
              <w:rPr>
                <w:color w:val="000000" w:themeColor="text1"/>
                <w:sz w:val="18"/>
                <w:szCs w:val="18"/>
                <w:lang w:val="en-GB"/>
              </w:rPr>
              <w:t>egions</w:t>
            </w:r>
            <w:r w:rsidRPr="00994D78">
              <w:rPr>
                <w:color w:val="000000" w:themeColor="text1"/>
                <w:sz w:val="18"/>
                <w:szCs w:val="18"/>
                <w:lang w:val="en-GB"/>
              </w:rPr>
              <w:t xml:space="preserve"> and key stakeholders</w:t>
            </w:r>
            <w:r w:rsidR="004A5C1C"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Indicator</w:t>
            </w:r>
            <w:r w:rsidR="00141308" w:rsidRPr="00994D78">
              <w:rPr>
                <w:b/>
                <w:color w:val="000000" w:themeColor="text1"/>
                <w:sz w:val="18"/>
                <w:szCs w:val="18"/>
                <w:lang w:val="en-GB"/>
              </w:rPr>
              <w:t xml:space="preserve"> </w:t>
            </w:r>
            <w:r w:rsidR="008E032A" w:rsidRPr="00994D78">
              <w:rPr>
                <w:b/>
                <w:color w:val="000000" w:themeColor="text1"/>
                <w:sz w:val="18"/>
                <w:szCs w:val="18"/>
                <w:lang w:val="en-GB"/>
              </w:rPr>
              <w:t>4</w:t>
            </w:r>
            <w:r w:rsidR="008E032A" w:rsidRPr="00994D78">
              <w:rPr>
                <w:color w:val="000000" w:themeColor="text1"/>
                <w:sz w:val="18"/>
                <w:szCs w:val="18"/>
                <w:lang w:val="en-GB"/>
              </w:rPr>
              <w:t xml:space="preserve">: </w:t>
            </w:r>
            <w:r w:rsidR="00F57E0B" w:rsidRPr="00994D78">
              <w:rPr>
                <w:color w:val="000000" w:themeColor="text1"/>
                <w:sz w:val="18"/>
                <w:szCs w:val="18"/>
                <w:lang w:val="en-GB"/>
              </w:rPr>
              <w:t xml:space="preserve">% of NSF coordinating mechanisms functioning optimally at all levels. </w:t>
            </w:r>
            <w:r w:rsidR="00F57E0B" w:rsidRPr="00994D78">
              <w:rPr>
                <w:b/>
                <w:color w:val="000000" w:themeColor="text1"/>
                <w:sz w:val="18"/>
                <w:szCs w:val="18"/>
                <w:lang w:val="en-GB"/>
              </w:rPr>
              <w:t xml:space="preserve">Baseline </w:t>
            </w:r>
            <w:r w:rsidR="008E032A" w:rsidRPr="00994D78">
              <w:rPr>
                <w:b/>
                <w:color w:val="000000" w:themeColor="text1"/>
                <w:sz w:val="18"/>
                <w:szCs w:val="18"/>
                <w:lang w:val="en-GB"/>
              </w:rPr>
              <w:t>4</w:t>
            </w:r>
            <w:r w:rsidR="00F57E0B" w:rsidRPr="00994D78">
              <w:rPr>
                <w:b/>
                <w:color w:val="000000" w:themeColor="text1"/>
                <w:sz w:val="18"/>
                <w:szCs w:val="18"/>
                <w:lang w:val="en-GB"/>
              </w:rPr>
              <w:t>:</w:t>
            </w:r>
            <w:r w:rsidR="00F57E0B" w:rsidRPr="00994D78">
              <w:rPr>
                <w:color w:val="000000" w:themeColor="text1"/>
                <w:sz w:val="18"/>
                <w:szCs w:val="18"/>
                <w:lang w:val="en-GB"/>
              </w:rPr>
              <w:t xml:space="preserve"> (2012) 40%. </w:t>
            </w:r>
            <w:r w:rsidR="00F57E0B" w:rsidRPr="00994D78">
              <w:rPr>
                <w:b/>
                <w:color w:val="000000" w:themeColor="text1"/>
                <w:sz w:val="18"/>
                <w:szCs w:val="18"/>
                <w:lang w:val="en-GB"/>
              </w:rPr>
              <w:t xml:space="preserve">Target </w:t>
            </w:r>
            <w:r w:rsidR="008E032A" w:rsidRPr="00994D78">
              <w:rPr>
                <w:b/>
                <w:color w:val="000000" w:themeColor="text1"/>
                <w:sz w:val="18"/>
                <w:szCs w:val="18"/>
                <w:lang w:val="en-GB"/>
              </w:rPr>
              <w:t>4</w:t>
            </w:r>
            <w:r w:rsidR="00F57E0B" w:rsidRPr="00994D78">
              <w:rPr>
                <w:color w:val="000000" w:themeColor="text1"/>
                <w:sz w:val="18"/>
                <w:szCs w:val="18"/>
                <w:lang w:val="en-GB"/>
              </w:rPr>
              <w:t>: At least 90%.</w:t>
            </w:r>
            <w:r w:rsidR="00F57E0B" w:rsidRPr="00994D78">
              <w:rPr>
                <w:b/>
                <w:color w:val="000000" w:themeColor="text1"/>
                <w:sz w:val="18"/>
                <w:szCs w:val="18"/>
                <w:lang w:val="en-GB"/>
              </w:rPr>
              <w:t xml:space="preserve"> </w:t>
            </w:r>
            <w:r w:rsidR="00B61DC8" w:rsidRPr="00994D78">
              <w:rPr>
                <w:b/>
                <w:color w:val="000000" w:themeColor="text1"/>
                <w:sz w:val="18"/>
                <w:szCs w:val="18"/>
                <w:lang w:val="en-GB"/>
              </w:rPr>
              <w:t xml:space="preserve"> </w:t>
            </w:r>
            <w:r w:rsidR="008E032A" w:rsidRPr="00994D78">
              <w:rPr>
                <w:b/>
                <w:color w:val="000000" w:themeColor="text1"/>
                <w:sz w:val="18"/>
                <w:szCs w:val="18"/>
                <w:lang w:val="en-GB"/>
              </w:rPr>
              <w:t>Indicator 5</w:t>
            </w:r>
            <w:r w:rsidR="00B61DC8" w:rsidRPr="00994D78">
              <w:rPr>
                <w:b/>
                <w:color w:val="000000" w:themeColor="text1"/>
                <w:sz w:val="18"/>
                <w:szCs w:val="18"/>
                <w:lang w:val="en-GB"/>
              </w:rPr>
              <w:t xml:space="preserve">: </w:t>
            </w:r>
            <w:r w:rsidR="008523B1" w:rsidRPr="00994D78">
              <w:rPr>
                <w:color w:val="000000" w:themeColor="text1"/>
                <w:sz w:val="18"/>
                <w:szCs w:val="18"/>
                <w:lang w:val="en-GB"/>
              </w:rPr>
              <w:t xml:space="preserve">% </w:t>
            </w:r>
            <w:r w:rsidR="00B61DC8" w:rsidRPr="00994D78">
              <w:rPr>
                <w:color w:val="000000" w:themeColor="text1"/>
                <w:sz w:val="18"/>
                <w:szCs w:val="18"/>
                <w:lang w:val="en-GB"/>
              </w:rPr>
              <w:t xml:space="preserve">of national reports </w:t>
            </w:r>
            <w:r w:rsidR="008523B1" w:rsidRPr="00994D78">
              <w:rPr>
                <w:color w:val="000000" w:themeColor="text1"/>
                <w:sz w:val="18"/>
                <w:szCs w:val="18"/>
                <w:lang w:val="en-GB"/>
              </w:rPr>
              <w:t xml:space="preserve">of the Auditor General </w:t>
            </w:r>
            <w:r w:rsidR="00013336" w:rsidRPr="00994D78">
              <w:rPr>
                <w:color w:val="000000" w:themeColor="text1"/>
                <w:sz w:val="18"/>
                <w:szCs w:val="18"/>
                <w:lang w:val="en-GB"/>
              </w:rPr>
              <w:t>scrutinized</w:t>
            </w:r>
            <w:r w:rsidR="00B61DC8" w:rsidRPr="00994D78">
              <w:rPr>
                <w:color w:val="000000" w:themeColor="text1"/>
                <w:sz w:val="18"/>
                <w:szCs w:val="18"/>
                <w:lang w:val="en-GB"/>
              </w:rPr>
              <w:t xml:space="preserve"> by the </w:t>
            </w:r>
            <w:r w:rsidR="004F6B00">
              <w:rPr>
                <w:color w:val="000000" w:themeColor="text1"/>
                <w:sz w:val="18"/>
                <w:szCs w:val="18"/>
                <w:lang w:val="en-GB"/>
              </w:rPr>
              <w:t>Public Accounts Committee (</w:t>
            </w:r>
            <w:r w:rsidR="008523B1" w:rsidRPr="00994D78">
              <w:rPr>
                <w:color w:val="000000" w:themeColor="text1"/>
                <w:sz w:val="18"/>
                <w:szCs w:val="18"/>
                <w:lang w:val="en-GB"/>
              </w:rPr>
              <w:t>P</w:t>
            </w:r>
            <w:r w:rsidR="006C0EE5" w:rsidRPr="00994D78">
              <w:rPr>
                <w:color w:val="000000" w:themeColor="text1"/>
                <w:sz w:val="18"/>
                <w:szCs w:val="18"/>
                <w:lang w:val="en-GB"/>
              </w:rPr>
              <w:t>AC</w:t>
            </w:r>
            <w:r w:rsidR="004F6B00">
              <w:rPr>
                <w:color w:val="000000" w:themeColor="text1"/>
                <w:sz w:val="18"/>
                <w:szCs w:val="18"/>
                <w:lang w:val="en-GB"/>
              </w:rPr>
              <w:t>)</w:t>
            </w:r>
            <w:r w:rsidR="00013336"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5</w:t>
            </w:r>
            <w:r w:rsidR="00013336" w:rsidRPr="00994D78">
              <w:rPr>
                <w:b/>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L</w:t>
            </w:r>
            <w:r w:rsidR="00B61DC8" w:rsidRPr="00994D78">
              <w:rPr>
                <w:color w:val="000000" w:themeColor="text1"/>
                <w:sz w:val="18"/>
                <w:szCs w:val="18"/>
                <w:lang w:val="en-GB"/>
              </w:rPr>
              <w:t xml:space="preserve">imited capacity </w:t>
            </w:r>
            <w:r w:rsidR="00994D78">
              <w:rPr>
                <w:color w:val="000000" w:themeColor="text1"/>
                <w:sz w:val="18"/>
                <w:szCs w:val="18"/>
                <w:lang w:val="en-GB"/>
              </w:rPr>
              <w:t xml:space="preserve">of </w:t>
            </w:r>
            <w:r w:rsidR="004F6B00">
              <w:rPr>
                <w:color w:val="000000" w:themeColor="text1"/>
                <w:sz w:val="18"/>
                <w:szCs w:val="18"/>
                <w:lang w:val="en-GB"/>
              </w:rPr>
              <w:t>the P</w:t>
            </w:r>
            <w:r w:rsidR="00994D78">
              <w:rPr>
                <w:color w:val="000000" w:themeColor="text1"/>
                <w:sz w:val="18"/>
                <w:szCs w:val="18"/>
                <w:lang w:val="en-GB"/>
              </w:rPr>
              <w:t xml:space="preserve">AC </w:t>
            </w:r>
            <w:r w:rsidR="008E032A" w:rsidRPr="00994D78">
              <w:rPr>
                <w:color w:val="000000" w:themeColor="text1"/>
                <w:sz w:val="18"/>
                <w:szCs w:val="18"/>
                <w:lang w:val="en-GB"/>
              </w:rPr>
              <w:t>to oversee and</w:t>
            </w:r>
            <w:r w:rsidR="00B61DC8" w:rsidRPr="00994D78">
              <w:rPr>
                <w:color w:val="000000" w:themeColor="text1"/>
                <w:sz w:val="18"/>
                <w:szCs w:val="18"/>
                <w:lang w:val="en-GB"/>
              </w:rPr>
              <w:t xml:space="preserve"> scrutiniz</w:t>
            </w:r>
            <w:r w:rsidR="008E032A" w:rsidRPr="00994D78">
              <w:rPr>
                <w:color w:val="000000" w:themeColor="text1"/>
                <w:sz w:val="18"/>
                <w:szCs w:val="18"/>
                <w:lang w:val="en-GB"/>
              </w:rPr>
              <w:t>e</w:t>
            </w:r>
            <w:r w:rsidR="00B61DC8" w:rsidRPr="00994D78">
              <w:rPr>
                <w:color w:val="000000" w:themeColor="text1"/>
                <w:sz w:val="18"/>
                <w:szCs w:val="18"/>
                <w:lang w:val="en-GB"/>
              </w:rPr>
              <w:t xml:space="preserve"> reports.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5</w:t>
            </w:r>
            <w:r w:rsidR="008523B1" w:rsidRPr="00994D78">
              <w:rPr>
                <w:b/>
                <w:color w:val="000000" w:themeColor="text1"/>
                <w:sz w:val="18"/>
                <w:szCs w:val="18"/>
                <w:lang w:val="en-GB"/>
              </w:rPr>
              <w:t>:</w:t>
            </w:r>
            <w:r w:rsidR="00B61DC8" w:rsidRPr="00994D78">
              <w:rPr>
                <w:color w:val="000000" w:themeColor="text1"/>
                <w:sz w:val="18"/>
                <w:szCs w:val="18"/>
                <w:lang w:val="en-GB"/>
              </w:rPr>
              <w:t xml:space="preserve"> 30% </w:t>
            </w:r>
            <w:r w:rsidR="00013336" w:rsidRPr="00994D78">
              <w:rPr>
                <w:color w:val="000000" w:themeColor="text1"/>
                <w:sz w:val="18"/>
                <w:szCs w:val="18"/>
                <w:lang w:val="en-GB"/>
              </w:rPr>
              <w:t xml:space="preserve">increase </w:t>
            </w:r>
            <w:r w:rsidR="00B61DC8" w:rsidRPr="00994D78">
              <w:rPr>
                <w:color w:val="000000" w:themeColor="text1"/>
                <w:sz w:val="18"/>
                <w:szCs w:val="18"/>
                <w:lang w:val="en-GB"/>
              </w:rPr>
              <w:t>in the number of reports scrutinized</w:t>
            </w:r>
            <w:r w:rsidR="00013336" w:rsidRPr="00994D78">
              <w:rPr>
                <w:color w:val="000000" w:themeColor="text1"/>
                <w:sz w:val="18"/>
                <w:szCs w:val="18"/>
                <w:lang w:val="en-GB"/>
              </w:rPr>
              <w:t xml:space="preserve">. </w:t>
            </w:r>
            <w:r w:rsidR="00B61DC8" w:rsidRPr="00994D78">
              <w:rPr>
                <w:b/>
                <w:color w:val="000000" w:themeColor="text1"/>
                <w:sz w:val="18"/>
                <w:szCs w:val="18"/>
                <w:lang w:val="en-GB"/>
              </w:rPr>
              <w:t xml:space="preserve">Indicator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w:t>
            </w:r>
            <w:r w:rsidR="008523B1" w:rsidRPr="00994D78">
              <w:rPr>
                <w:color w:val="000000" w:themeColor="text1"/>
                <w:sz w:val="18"/>
                <w:szCs w:val="18"/>
                <w:lang w:val="en-GB"/>
              </w:rPr>
              <w:t xml:space="preserve">Existence of </w:t>
            </w:r>
            <w:r w:rsidR="00994D78">
              <w:rPr>
                <w:color w:val="000000" w:themeColor="text1"/>
                <w:sz w:val="18"/>
                <w:szCs w:val="18"/>
                <w:lang w:val="en-GB"/>
              </w:rPr>
              <w:t xml:space="preserve">revised </w:t>
            </w:r>
            <w:r w:rsidR="00B61DC8" w:rsidRPr="00994D78">
              <w:rPr>
                <w:color w:val="000000" w:themeColor="text1"/>
                <w:sz w:val="18"/>
                <w:szCs w:val="18"/>
                <w:lang w:val="en-GB"/>
              </w:rPr>
              <w:t>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currently under review</w:t>
            </w:r>
            <w:r w:rsidR="008523B1"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w:t>
            </w:r>
            <w:r w:rsidR="008523B1" w:rsidRPr="00994D78">
              <w:rPr>
                <w:color w:val="000000" w:themeColor="text1"/>
                <w:sz w:val="18"/>
                <w:szCs w:val="18"/>
                <w:lang w:val="en-GB"/>
              </w:rPr>
              <w:t xml:space="preserve">law </w:t>
            </w:r>
            <w:r w:rsidR="00994D78">
              <w:rPr>
                <w:color w:val="000000" w:themeColor="text1"/>
                <w:sz w:val="18"/>
                <w:szCs w:val="18"/>
                <w:lang w:val="en-GB"/>
              </w:rPr>
              <w:t>improved</w:t>
            </w:r>
            <w:r w:rsidR="008523B1" w:rsidRPr="00994D78">
              <w:rPr>
                <w:color w:val="000000" w:themeColor="text1"/>
                <w:sz w:val="18"/>
                <w:szCs w:val="18"/>
                <w:lang w:val="en-GB"/>
              </w:rPr>
              <w:t xml:space="preserve"> and implemented.</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F57E0B" w:rsidRPr="00994D78" w:rsidRDefault="00777563" w:rsidP="00B61DC8">
            <w:pPr>
              <w:rPr>
                <w:color w:val="000000" w:themeColor="text1"/>
                <w:sz w:val="18"/>
                <w:szCs w:val="18"/>
                <w:lang w:val="en-GB"/>
              </w:rPr>
            </w:pPr>
            <w:r w:rsidRPr="00994D78">
              <w:rPr>
                <w:color w:val="000000" w:themeColor="text1"/>
                <w:sz w:val="18"/>
                <w:szCs w:val="18"/>
                <w:lang w:val="en-GB"/>
              </w:rPr>
              <w:t>1</w:t>
            </w:r>
            <w:r w:rsidR="00A5635F" w:rsidRPr="00994D78">
              <w:rPr>
                <w:color w:val="000000" w:themeColor="text1"/>
                <w:sz w:val="18"/>
                <w:szCs w:val="18"/>
                <w:lang w:val="en-GB"/>
              </w:rPr>
              <w:t xml:space="preserve">) </w:t>
            </w:r>
            <w:r w:rsidR="00AE3A30" w:rsidRPr="00994D78">
              <w:rPr>
                <w:color w:val="000000" w:themeColor="text1"/>
                <w:sz w:val="18"/>
                <w:szCs w:val="18"/>
                <w:lang w:val="en-GB"/>
              </w:rPr>
              <w:t xml:space="preserve">Capacity of </w:t>
            </w:r>
            <w:r w:rsidR="00994D78">
              <w:rPr>
                <w:color w:val="000000" w:themeColor="text1"/>
                <w:sz w:val="18"/>
                <w:szCs w:val="18"/>
                <w:lang w:val="en-GB"/>
              </w:rPr>
              <w:t>p</w:t>
            </w:r>
            <w:r w:rsidR="005A6360" w:rsidRPr="00994D78">
              <w:rPr>
                <w:color w:val="000000" w:themeColor="text1"/>
                <w:sz w:val="18"/>
                <w:szCs w:val="18"/>
                <w:lang w:val="en-GB"/>
              </w:rPr>
              <w:t>ublic institutions and CSO</w:t>
            </w:r>
            <w:r w:rsidR="00994D78">
              <w:rPr>
                <w:color w:val="000000" w:themeColor="text1"/>
                <w:sz w:val="18"/>
                <w:szCs w:val="18"/>
                <w:lang w:val="en-GB"/>
              </w:rPr>
              <w:t xml:space="preserve"> is stren</w:t>
            </w:r>
            <w:r w:rsidR="00AE3A30" w:rsidRPr="00994D78">
              <w:rPr>
                <w:color w:val="000000" w:themeColor="text1"/>
                <w:sz w:val="18"/>
                <w:szCs w:val="18"/>
                <w:lang w:val="en-GB"/>
              </w:rPr>
              <w:t>gthened</w:t>
            </w:r>
            <w:r w:rsidR="00994D78">
              <w:rPr>
                <w:color w:val="000000" w:themeColor="text1"/>
                <w:sz w:val="18"/>
                <w:szCs w:val="18"/>
                <w:lang w:val="en-GB"/>
              </w:rPr>
              <w:t xml:space="preserve"> to implement the national Anti-C</w:t>
            </w:r>
            <w:r w:rsidR="00AE3A30" w:rsidRPr="00994D78">
              <w:rPr>
                <w:color w:val="000000" w:themeColor="text1"/>
                <w:sz w:val="18"/>
                <w:szCs w:val="18"/>
                <w:lang w:val="en-GB"/>
              </w:rPr>
              <w:t xml:space="preserve">orruption </w:t>
            </w:r>
            <w:r w:rsidR="00994D78">
              <w:rPr>
                <w:color w:val="000000" w:themeColor="text1"/>
                <w:sz w:val="18"/>
                <w:szCs w:val="18"/>
                <w:lang w:val="en-GB"/>
              </w:rPr>
              <w:t>S</w:t>
            </w:r>
            <w:r w:rsidR="00AE3A30" w:rsidRPr="00994D78">
              <w:rPr>
                <w:color w:val="000000" w:themeColor="text1"/>
                <w:sz w:val="18"/>
                <w:szCs w:val="18"/>
                <w:lang w:val="en-GB"/>
              </w:rPr>
              <w:t>trategy</w:t>
            </w:r>
            <w:r w:rsidR="00994D78">
              <w:rPr>
                <w:color w:val="000000" w:themeColor="text1"/>
                <w:sz w:val="18"/>
                <w:szCs w:val="18"/>
                <w:lang w:val="en-GB"/>
              </w:rPr>
              <w:t xml:space="preserve"> </w:t>
            </w:r>
            <w:r w:rsidR="00A5635F" w:rsidRPr="00994D78">
              <w:rPr>
                <w:color w:val="000000" w:themeColor="text1"/>
                <w:sz w:val="18"/>
                <w:szCs w:val="18"/>
                <w:lang w:val="en-GB"/>
              </w:rPr>
              <w:t xml:space="preserve">2) </w:t>
            </w:r>
            <w:r w:rsidR="008D4791" w:rsidRPr="00994D78">
              <w:rPr>
                <w:color w:val="000000" w:themeColor="text1"/>
                <w:sz w:val="18"/>
                <w:szCs w:val="18"/>
                <w:lang w:val="en-GB"/>
              </w:rPr>
              <w:t xml:space="preserve">Office of the Ombudsman and O/M/As capacitated to develop and implement the HR action plan </w:t>
            </w:r>
            <w:r w:rsidR="00F57E0B" w:rsidRPr="00994D78">
              <w:rPr>
                <w:color w:val="000000" w:themeColor="text1"/>
                <w:sz w:val="18"/>
                <w:szCs w:val="18"/>
                <w:lang w:val="en-GB"/>
              </w:rPr>
              <w:t>3</w:t>
            </w:r>
            <w:r w:rsidR="00A5635F" w:rsidRPr="00994D78">
              <w:rPr>
                <w:color w:val="000000" w:themeColor="text1"/>
                <w:sz w:val="18"/>
                <w:szCs w:val="18"/>
                <w:lang w:val="en-GB"/>
              </w:rPr>
              <w:t>)</w:t>
            </w:r>
            <w:r w:rsidR="00F364CF" w:rsidRPr="00994D78">
              <w:rPr>
                <w:color w:val="000000" w:themeColor="text1"/>
                <w:sz w:val="18"/>
                <w:szCs w:val="18"/>
                <w:lang w:val="en-GB"/>
              </w:rPr>
              <w:t xml:space="preserve"> </w:t>
            </w:r>
            <w:r w:rsidR="008E2636" w:rsidRPr="00994D78">
              <w:rPr>
                <w:color w:val="000000" w:themeColor="text1"/>
                <w:sz w:val="18"/>
                <w:szCs w:val="18"/>
                <w:lang w:val="en-GB"/>
              </w:rPr>
              <w:t>M</w:t>
            </w:r>
            <w:r w:rsidR="008D4791" w:rsidRPr="00994D78">
              <w:rPr>
                <w:color w:val="000000" w:themeColor="text1"/>
                <w:sz w:val="18"/>
                <w:szCs w:val="18"/>
                <w:lang w:val="en-GB"/>
              </w:rPr>
              <w:t xml:space="preserve">GECW supported to </w:t>
            </w:r>
            <w:r w:rsidR="00673C33">
              <w:rPr>
                <w:color w:val="000000" w:themeColor="text1"/>
                <w:sz w:val="18"/>
                <w:szCs w:val="18"/>
                <w:lang w:val="en-GB"/>
              </w:rPr>
              <w:t>c</w:t>
            </w:r>
            <w:r w:rsidR="00F57E0B" w:rsidRPr="00994D78">
              <w:rPr>
                <w:color w:val="000000" w:themeColor="text1"/>
                <w:sz w:val="18"/>
                <w:szCs w:val="18"/>
                <w:lang w:val="en-GB"/>
              </w:rPr>
              <w:t>oordinat</w:t>
            </w:r>
            <w:r w:rsidR="008D4791" w:rsidRPr="00994D78">
              <w:rPr>
                <w:color w:val="000000" w:themeColor="text1"/>
                <w:sz w:val="18"/>
                <w:szCs w:val="18"/>
                <w:lang w:val="en-GB"/>
              </w:rPr>
              <w:t>e and implement</w:t>
            </w:r>
            <w:r w:rsidR="00F57E0B" w:rsidRPr="00994D78">
              <w:rPr>
                <w:color w:val="000000" w:themeColor="text1"/>
                <w:sz w:val="18"/>
                <w:szCs w:val="18"/>
                <w:lang w:val="en-GB"/>
              </w:rPr>
              <w:t xml:space="preserve"> </w:t>
            </w:r>
            <w:r w:rsidR="008D4791" w:rsidRPr="00994D78">
              <w:rPr>
                <w:color w:val="000000" w:themeColor="text1"/>
                <w:sz w:val="18"/>
                <w:szCs w:val="18"/>
                <w:lang w:val="en-GB"/>
              </w:rPr>
              <w:t>the national</w:t>
            </w:r>
            <w:r w:rsidR="00F57E0B" w:rsidRPr="00994D78">
              <w:rPr>
                <w:color w:val="000000" w:themeColor="text1"/>
                <w:sz w:val="18"/>
                <w:szCs w:val="18"/>
                <w:lang w:val="en-GB"/>
              </w:rPr>
              <w:t xml:space="preserve"> GBV plan of action 4)</w:t>
            </w:r>
            <w:r w:rsidR="008E032A" w:rsidRPr="00994D78">
              <w:rPr>
                <w:color w:val="000000" w:themeColor="text1"/>
                <w:sz w:val="18"/>
                <w:szCs w:val="18"/>
                <w:lang w:val="en-GB"/>
              </w:rPr>
              <w:t xml:space="preserve"> </w:t>
            </w:r>
            <w:r w:rsidR="00D567EC" w:rsidRPr="00994D78">
              <w:rPr>
                <w:color w:val="000000" w:themeColor="text1"/>
                <w:sz w:val="18"/>
                <w:szCs w:val="18"/>
                <w:lang w:val="en-GB"/>
              </w:rPr>
              <w:t xml:space="preserve">Capacity of government strengthened to mainstream </w:t>
            </w:r>
            <w:r w:rsidR="00A5635F" w:rsidRPr="00994D78">
              <w:rPr>
                <w:color w:val="000000" w:themeColor="text1"/>
                <w:sz w:val="18"/>
                <w:szCs w:val="18"/>
                <w:lang w:val="en-GB"/>
              </w:rPr>
              <w:t>HIV and AIDS</w:t>
            </w:r>
            <w:r w:rsidR="006C0EE5" w:rsidRPr="00994D78">
              <w:rPr>
                <w:color w:val="000000" w:themeColor="text1"/>
                <w:sz w:val="18"/>
                <w:szCs w:val="18"/>
                <w:lang w:val="en-GB"/>
              </w:rPr>
              <w:t xml:space="preserve"> in</w:t>
            </w:r>
            <w:r w:rsidR="00A5635F" w:rsidRPr="00994D78">
              <w:rPr>
                <w:color w:val="000000" w:themeColor="text1"/>
                <w:sz w:val="18"/>
                <w:szCs w:val="18"/>
                <w:lang w:val="en-GB"/>
              </w:rPr>
              <w:t xml:space="preserve"> p</w:t>
            </w:r>
            <w:r w:rsidR="00994D78">
              <w:rPr>
                <w:color w:val="000000" w:themeColor="text1"/>
                <w:sz w:val="18"/>
                <w:szCs w:val="18"/>
                <w:lang w:val="en-GB"/>
              </w:rPr>
              <w:t>lanning and budgeting processes</w:t>
            </w:r>
            <w:r w:rsidR="008E032A" w:rsidRPr="00994D78">
              <w:rPr>
                <w:color w:val="000000" w:themeColor="text1"/>
                <w:sz w:val="18"/>
                <w:szCs w:val="18"/>
                <w:lang w:val="en-GB"/>
              </w:rPr>
              <w:t xml:space="preserve"> </w:t>
            </w:r>
            <w:r w:rsidR="000E5CD0" w:rsidRPr="00994D78">
              <w:rPr>
                <w:color w:val="000000" w:themeColor="text1"/>
                <w:sz w:val="18"/>
                <w:szCs w:val="18"/>
                <w:lang w:val="en-GB"/>
              </w:rPr>
              <w:t>5</w:t>
            </w:r>
            <w:r w:rsidR="00A5635F" w:rsidRPr="00994D78">
              <w:rPr>
                <w:color w:val="000000" w:themeColor="text1"/>
                <w:sz w:val="18"/>
                <w:szCs w:val="18"/>
                <w:lang w:val="en-GB"/>
              </w:rPr>
              <w:t>)</w:t>
            </w:r>
          </w:p>
          <w:p w:rsidR="005C61B6" w:rsidRPr="00994D78" w:rsidRDefault="00D567EC" w:rsidP="00673C33">
            <w:pPr>
              <w:rPr>
                <w:b/>
                <w:bCs/>
                <w:color w:val="000000" w:themeColor="text1"/>
                <w:sz w:val="18"/>
                <w:szCs w:val="18"/>
                <w:lang w:val="en-GB"/>
              </w:rPr>
            </w:pPr>
            <w:r w:rsidRPr="00994D78">
              <w:rPr>
                <w:color w:val="000000" w:themeColor="text1"/>
                <w:sz w:val="18"/>
                <w:szCs w:val="18"/>
                <w:lang w:val="en-GB"/>
              </w:rPr>
              <w:t>Capacity of PAC enhanced to improve o</w:t>
            </w:r>
            <w:r w:rsidR="00B61DC8" w:rsidRPr="00994D78">
              <w:rPr>
                <w:color w:val="000000" w:themeColor="text1"/>
                <w:sz w:val="18"/>
                <w:szCs w:val="18"/>
                <w:lang w:val="en-GB"/>
              </w:rPr>
              <w:t xml:space="preserve">versight and scrutiny functions </w:t>
            </w:r>
            <w:r w:rsidR="00F57E0B" w:rsidRPr="00994D78">
              <w:rPr>
                <w:color w:val="000000" w:themeColor="text1"/>
                <w:sz w:val="18"/>
                <w:szCs w:val="18"/>
                <w:lang w:val="en-GB"/>
              </w:rPr>
              <w:t>6</w:t>
            </w:r>
            <w:r w:rsidR="00D92AAE" w:rsidRPr="00994D78">
              <w:rPr>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E</w:t>
            </w:r>
            <w:r w:rsidRPr="00994D78">
              <w:rPr>
                <w:color w:val="000000" w:themeColor="text1"/>
                <w:sz w:val="18"/>
                <w:szCs w:val="18"/>
                <w:lang w:val="en-GB"/>
              </w:rPr>
              <w:t>lectoral l</w:t>
            </w:r>
            <w:r w:rsidR="00994D78">
              <w:rPr>
                <w:color w:val="000000" w:themeColor="text1"/>
                <w:sz w:val="18"/>
                <w:szCs w:val="18"/>
                <w:lang w:val="en-GB"/>
              </w:rPr>
              <w:t xml:space="preserve">egal framework improved and </w:t>
            </w:r>
            <w:r w:rsidR="008E2636" w:rsidRPr="00994D78">
              <w:rPr>
                <w:color w:val="000000" w:themeColor="text1"/>
                <w:sz w:val="18"/>
                <w:szCs w:val="18"/>
                <w:lang w:val="en-GB"/>
              </w:rPr>
              <w:t>institutional capacity of EMB strengthened</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635F" w:rsidP="00A5635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826A2B" w:rsidP="00A5635F">
            <w:pPr>
              <w:spacing w:after="20"/>
              <w:rPr>
                <w:b/>
                <w:color w:val="000000" w:themeColor="text1"/>
                <w:sz w:val="18"/>
                <w:szCs w:val="18"/>
                <w:lang w:val="en-GB"/>
              </w:rPr>
            </w:pPr>
            <w:r w:rsidRPr="00994D78">
              <w:rPr>
                <w:b/>
                <w:color w:val="000000" w:themeColor="text1"/>
                <w:sz w:val="18"/>
                <w:szCs w:val="18"/>
                <w:lang w:val="en-GB"/>
              </w:rPr>
              <w:t>600,000</w:t>
            </w:r>
          </w:p>
          <w:p w:rsidR="005C61B6" w:rsidRPr="00994D78" w:rsidRDefault="005C61B6" w:rsidP="00F364CF">
            <w:pPr>
              <w:rPr>
                <w:b/>
                <w:color w:val="000000" w:themeColor="text1"/>
                <w:sz w:val="18"/>
                <w:szCs w:val="18"/>
                <w:lang w:val="en-GB"/>
              </w:rPr>
            </w:pPr>
          </w:p>
        </w:tc>
      </w:tr>
      <w:tr w:rsidR="00994D78" w:rsidRPr="005E7FF3" w:rsidTr="003105C9">
        <w:trPr>
          <w:gridAfter w:val="5"/>
          <w:wAfter w:w="1680" w:type="pct"/>
          <w:trHeight w:val="3645"/>
        </w:trPr>
        <w:tc>
          <w:tcPr>
            <w:tcW w:w="517"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970"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F364CF" w:rsidRPr="00994D78" w:rsidRDefault="00A578C0" w:rsidP="00F364CF">
            <w:pPr>
              <w:spacing w:after="20"/>
              <w:rPr>
                <w:b/>
                <w:color w:val="000000" w:themeColor="text1"/>
                <w:sz w:val="18"/>
                <w:szCs w:val="18"/>
                <w:lang w:val="en-GB"/>
              </w:rPr>
            </w:pPr>
            <w:r w:rsidRPr="00994D78">
              <w:rPr>
                <w:b/>
                <w:color w:val="000000" w:themeColor="text1"/>
                <w:sz w:val="18"/>
                <w:szCs w:val="18"/>
                <w:lang w:val="en-GB"/>
              </w:rPr>
              <w:t xml:space="preserve">Other </w:t>
            </w:r>
          </w:p>
          <w:p w:rsidR="00F364CF" w:rsidRPr="00994D78" w:rsidRDefault="00A578C0" w:rsidP="00F364CF">
            <w:pPr>
              <w:rPr>
                <w:b/>
                <w:color w:val="000000" w:themeColor="text1"/>
                <w:sz w:val="18"/>
                <w:szCs w:val="18"/>
                <w:lang w:val="en-GB"/>
              </w:rPr>
            </w:pPr>
            <w:r w:rsidRPr="00994D78">
              <w:rPr>
                <w:b/>
                <w:color w:val="000000" w:themeColor="text1"/>
                <w:sz w:val="18"/>
                <w:szCs w:val="18"/>
                <w:lang w:val="en-GB"/>
              </w:rPr>
              <w:t>500,000</w:t>
            </w:r>
          </w:p>
          <w:p w:rsidR="005C61B6" w:rsidRPr="00994D78" w:rsidRDefault="005C61B6" w:rsidP="00724EF9">
            <w:pPr>
              <w:rPr>
                <w:b/>
                <w:color w:val="000000" w:themeColor="text1"/>
                <w:sz w:val="18"/>
                <w:szCs w:val="18"/>
                <w:lang w:val="en-GB"/>
              </w:rPr>
            </w:pPr>
          </w:p>
        </w:tc>
      </w:tr>
      <w:tr w:rsidR="00073263"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CC5384" w:rsidP="00724EF9">
            <w:pPr>
              <w:rPr>
                <w:b/>
                <w:bCs/>
                <w:color w:val="000000" w:themeColor="text1"/>
                <w:sz w:val="18"/>
                <w:szCs w:val="18"/>
                <w:lang w:val="en-GB"/>
              </w:rPr>
            </w:pPr>
            <w:r w:rsidRPr="00994D78">
              <w:rPr>
                <w:b/>
                <w:bCs/>
                <w:color w:val="000000" w:themeColor="text1"/>
                <w:sz w:val="18"/>
                <w:szCs w:val="18"/>
                <w:lang w:val="en-GB"/>
              </w:rPr>
              <w:t xml:space="preserve">NATIONAL PRIORITY OR GOAL: </w:t>
            </w:r>
            <w:r w:rsidRPr="00994D78">
              <w:rPr>
                <w:color w:val="000000" w:themeColor="text1"/>
                <w:sz w:val="18"/>
                <w:szCs w:val="18"/>
                <w:lang w:val="en-GB"/>
              </w:rPr>
              <w:t>By 2017 the proportion of severely poor individuals has dropped from 15.8% in 2009/10 to below 10%.</w:t>
            </w:r>
          </w:p>
        </w:tc>
      </w:tr>
      <w:tr w:rsidR="00CC5384"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CC5384" w:rsidRPr="00994D78" w:rsidRDefault="00CC5384" w:rsidP="004B0F7A">
            <w:pPr>
              <w:jc w:val="both"/>
              <w:rPr>
                <w:b/>
                <w:color w:val="000000" w:themeColor="text1"/>
                <w:sz w:val="18"/>
                <w:szCs w:val="18"/>
                <w:lang w:val="en-GB"/>
              </w:rPr>
            </w:pPr>
            <w:r w:rsidRPr="00994D78">
              <w:rPr>
                <w:b/>
                <w:bCs/>
                <w:color w:val="000000" w:themeColor="text1"/>
                <w:sz w:val="18"/>
                <w:szCs w:val="18"/>
                <w:lang w:val="en-GB"/>
              </w:rPr>
              <w:t>UNPAF / COUNTRY PROGRAMME OUTCOME #8:</w:t>
            </w:r>
            <w:r w:rsidRPr="00994D78">
              <w:rPr>
                <w:color w:val="000000" w:themeColor="text1"/>
                <w:sz w:val="18"/>
                <w:szCs w:val="18"/>
                <w:lang w:val="en-GB"/>
              </w:rPr>
              <w:t xml:space="preserve"> By 2018, Namibia has adopted and is effectively implementing policies and strategies to reduce poverty and vulnerability which are informed by evidence on the root causes of poverty and vulnerability in a coordinated manner</w:t>
            </w:r>
            <w:r w:rsidR="000052C0" w:rsidRPr="00994D78">
              <w:rPr>
                <w:color w:val="000000" w:themeColor="text1"/>
                <w:sz w:val="18"/>
                <w:szCs w:val="18"/>
                <w:lang w:val="en-GB"/>
              </w:rPr>
              <w:t>.</w:t>
            </w:r>
            <w:r w:rsidRPr="00994D78">
              <w:rPr>
                <w:b/>
                <w:bCs/>
                <w:color w:val="000000" w:themeColor="text1"/>
                <w:sz w:val="18"/>
                <w:szCs w:val="18"/>
                <w:lang w:val="en-GB"/>
              </w:rPr>
              <w:t xml:space="preserve"> Outcome indicator: </w:t>
            </w:r>
            <w:r w:rsidRPr="00994D78">
              <w:rPr>
                <w:color w:val="000000" w:themeColor="text1"/>
                <w:sz w:val="18"/>
                <w:szCs w:val="18"/>
                <w:lang w:val="en-GB"/>
              </w:rPr>
              <w:t xml:space="preserve">% of population, disaggregated by </w:t>
            </w:r>
            <w:r w:rsidRPr="00994D78">
              <w:rPr>
                <w:color w:val="000000" w:themeColor="text1"/>
                <w:sz w:val="18"/>
                <w:szCs w:val="18"/>
                <w:lang w:val="en-GB"/>
              </w:rPr>
              <w:lastRenderedPageBreak/>
              <w:t>gender and area, classified as poor</w:t>
            </w:r>
            <w:r w:rsidR="000052C0" w:rsidRPr="00994D78">
              <w:rPr>
                <w:color w:val="000000" w:themeColor="text1"/>
                <w:sz w:val="18"/>
                <w:szCs w:val="18"/>
                <w:lang w:val="en-GB"/>
              </w:rPr>
              <w:t>.</w:t>
            </w:r>
            <w:r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w:t>
            </w:r>
            <w:r w:rsidR="00A578C0" w:rsidRPr="00994D78">
              <w:rPr>
                <w:color w:val="000000" w:themeColor="text1"/>
                <w:sz w:val="18"/>
                <w:szCs w:val="18"/>
                <w:lang w:val="en-GB"/>
              </w:rPr>
              <w:t>Programme Component 3: Inclusive Growth, Economic Empowerment and Poverty Reduction</w:t>
            </w:r>
          </w:p>
        </w:tc>
      </w:tr>
      <w:tr w:rsidR="00A5635F" w:rsidRPr="005E7FF3" w:rsidTr="008B0440">
        <w:trPr>
          <w:gridAfter w:val="5"/>
          <w:wAfter w:w="1680" w:type="pct"/>
          <w:trHeight w:val="3526"/>
        </w:trPr>
        <w:tc>
          <w:tcPr>
            <w:tcW w:w="517"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lastRenderedPageBreak/>
              <w:t>Partners:</w:t>
            </w:r>
          </w:p>
          <w:p w:rsidR="000052C0" w:rsidRPr="00994D78" w:rsidRDefault="000052C0" w:rsidP="000052C0">
            <w:pPr>
              <w:spacing w:after="20"/>
              <w:rPr>
                <w:color w:val="000000" w:themeColor="text1"/>
                <w:sz w:val="18"/>
                <w:szCs w:val="18"/>
                <w:lang w:val="en-GB"/>
              </w:rPr>
            </w:pPr>
            <w:r w:rsidRPr="00994D78">
              <w:rPr>
                <w:color w:val="000000" w:themeColor="text1"/>
                <w:sz w:val="18"/>
                <w:szCs w:val="18"/>
                <w:lang w:val="en-GB"/>
              </w:rPr>
              <w:t>N</w:t>
            </w:r>
            <w:r w:rsidR="006724D9" w:rsidRPr="00994D78">
              <w:rPr>
                <w:color w:val="000000" w:themeColor="text1"/>
                <w:sz w:val="18"/>
                <w:szCs w:val="18"/>
                <w:lang w:val="en-GB"/>
              </w:rPr>
              <w:t>PC, NSA and MTI</w:t>
            </w:r>
          </w:p>
          <w:p w:rsidR="006724D9" w:rsidRPr="00994D78" w:rsidRDefault="006724D9" w:rsidP="000052C0">
            <w:pPr>
              <w:spacing w:after="20"/>
              <w:rPr>
                <w:color w:val="000000" w:themeColor="text1"/>
                <w:sz w:val="18"/>
                <w:szCs w:val="18"/>
                <w:lang w:val="en-GB"/>
              </w:rPr>
            </w:pPr>
          </w:p>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470D31">
            <w:pPr>
              <w:spacing w:after="20"/>
              <w:rPr>
                <w:color w:val="000000" w:themeColor="text1"/>
                <w:sz w:val="18"/>
                <w:szCs w:val="18"/>
                <w:lang w:val="en-GB"/>
              </w:rPr>
            </w:pPr>
            <w:r w:rsidRPr="00994D78">
              <w:rPr>
                <w:color w:val="000000" w:themeColor="text1"/>
                <w:sz w:val="18"/>
                <w:szCs w:val="18"/>
                <w:lang w:val="en-GB"/>
              </w:rPr>
              <w:t>Policy direction and leadership. Government will also provide financial resources for development and implementation of employment and poverty reduction policies and strategies.</w:t>
            </w:r>
          </w:p>
        </w:tc>
        <w:tc>
          <w:tcPr>
            <w:tcW w:w="472"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76626D" w:rsidRPr="00994D78" w:rsidRDefault="00A578C0" w:rsidP="00724EF9">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xml:space="preserve">: Private sector (NCCI, NEF), and SME Bank </w:t>
            </w:r>
          </w:p>
          <w:p w:rsidR="0076626D" w:rsidRPr="00994D78" w:rsidRDefault="0076626D" w:rsidP="00724EF9">
            <w:pPr>
              <w:spacing w:after="20"/>
              <w:rPr>
                <w:color w:val="000000" w:themeColor="text1"/>
                <w:sz w:val="18"/>
                <w:szCs w:val="18"/>
                <w:lang w:val="en-GB"/>
              </w:rPr>
            </w:pPr>
          </w:p>
          <w:p w:rsidR="0076626D" w:rsidRPr="00994D78" w:rsidRDefault="00A578C0" w:rsidP="00724EF9">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283BC0">
            <w:pPr>
              <w:spacing w:after="20"/>
              <w:rPr>
                <w:color w:val="000000" w:themeColor="text1"/>
                <w:sz w:val="18"/>
                <w:szCs w:val="18"/>
                <w:lang w:val="en-GB"/>
              </w:rPr>
            </w:pPr>
            <w:r w:rsidRPr="00994D78">
              <w:rPr>
                <w:color w:val="000000" w:themeColor="text1"/>
                <w:sz w:val="18"/>
                <w:szCs w:val="18"/>
                <w:lang w:val="en-GB"/>
              </w:rPr>
              <w:t>Provision of funding and development of communication and coordination mechanisms and/or systems that enhance sustainable income generation.</w:t>
            </w:r>
          </w:p>
        </w:tc>
        <w:tc>
          <w:tcPr>
            <w:tcW w:w="515"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401ED">
            <w:pPr>
              <w:tabs>
                <w:tab w:val="left" w:pos="342"/>
              </w:tabs>
              <w:spacing w:after="20"/>
              <w:rPr>
                <w:color w:val="000000" w:themeColor="text1"/>
                <w:sz w:val="18"/>
                <w:szCs w:val="18"/>
                <w:lang w:val="en-GB"/>
              </w:rPr>
            </w:pPr>
            <w:r w:rsidRPr="00994D78">
              <w:rPr>
                <w:color w:val="000000" w:themeColor="text1"/>
                <w:sz w:val="18"/>
                <w:szCs w:val="18"/>
                <w:lang w:val="en-GB"/>
              </w:rPr>
              <w:t>Support for policy research and analysis on the root causes of poverty and vulnerability and income generation strategies.</w:t>
            </w:r>
            <w:r w:rsidR="0097221A">
              <w:rPr>
                <w:color w:val="000000" w:themeColor="text1"/>
                <w:sz w:val="18"/>
                <w:szCs w:val="18"/>
                <w:lang w:val="en-GB"/>
              </w:rPr>
              <w:t xml:space="preserve"> </w:t>
            </w:r>
            <w:r w:rsidR="00E401ED">
              <w:rPr>
                <w:color w:val="000000" w:themeColor="text1"/>
                <w:sz w:val="18"/>
                <w:szCs w:val="18"/>
                <w:lang w:val="en-GB"/>
              </w:rPr>
              <w:t>S</w:t>
            </w:r>
            <w:r w:rsidRPr="00994D78">
              <w:rPr>
                <w:color w:val="000000" w:themeColor="text1"/>
                <w:sz w:val="18"/>
                <w:szCs w:val="18"/>
                <w:lang w:val="en-GB"/>
              </w:rPr>
              <w:t>trengthening of capacity of government to develop and implement gender -responsive policies and strategies that enhance access to and utilization of productive resources and services by women and youth.</w:t>
            </w:r>
          </w:p>
        </w:tc>
        <w:tc>
          <w:tcPr>
            <w:tcW w:w="926"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25A62">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5A6360" w:rsidRPr="00994D78">
              <w:rPr>
                <w:color w:val="000000" w:themeColor="text1"/>
                <w:sz w:val="18"/>
                <w:szCs w:val="18"/>
                <w:lang w:val="en-GB"/>
              </w:rPr>
              <w:t xml:space="preserve">Number of </w:t>
            </w:r>
            <w:r w:rsidR="00371FF5" w:rsidRPr="00994D78">
              <w:rPr>
                <w:color w:val="000000" w:themeColor="text1"/>
                <w:sz w:val="18"/>
                <w:szCs w:val="18"/>
                <w:lang w:val="en-GB"/>
              </w:rPr>
              <w:t xml:space="preserve">employment creating </w:t>
            </w:r>
            <w:r w:rsidR="005A6360" w:rsidRPr="00994D78">
              <w:rPr>
                <w:color w:val="000000" w:themeColor="text1"/>
                <w:sz w:val="18"/>
                <w:szCs w:val="18"/>
                <w:lang w:val="en-GB"/>
              </w:rPr>
              <w:t>policies and strategies developed and implemented on the basis of published studies and national dialogue on the root causes of poverty</w:t>
            </w:r>
            <w:r w:rsidRPr="00994D78">
              <w:rPr>
                <w:color w:val="000000" w:themeColor="text1"/>
                <w:sz w:val="18"/>
                <w:szCs w:val="18"/>
                <w:lang w:val="en-GB"/>
              </w:rPr>
              <w:t xml:space="preserve">. </w:t>
            </w:r>
            <w:r w:rsidRPr="00994D78">
              <w:rPr>
                <w:b/>
                <w:color w:val="000000" w:themeColor="text1"/>
                <w:sz w:val="18"/>
                <w:szCs w:val="18"/>
                <w:lang w:val="en-GB"/>
              </w:rPr>
              <w:t xml:space="preserve">Baseline 1: (2012) </w:t>
            </w:r>
            <w:r w:rsidR="00E25A62" w:rsidRPr="00E25A62">
              <w:rPr>
                <w:color w:val="000000" w:themeColor="text1"/>
                <w:sz w:val="18"/>
                <w:szCs w:val="18"/>
                <w:lang w:val="en-GB"/>
              </w:rPr>
              <w:t>N</w:t>
            </w:r>
            <w:r w:rsidRPr="00E25A62">
              <w:rPr>
                <w:color w:val="000000" w:themeColor="text1"/>
                <w:sz w:val="18"/>
                <w:szCs w:val="18"/>
                <w:lang w:val="en-GB"/>
              </w:rPr>
              <w:t>one</w:t>
            </w:r>
            <w:r w:rsidRPr="00994D78">
              <w:rPr>
                <w:color w:val="000000" w:themeColor="text1"/>
                <w:sz w:val="18"/>
                <w:szCs w:val="18"/>
                <w:lang w:val="en-GB"/>
              </w:rPr>
              <w:t xml:space="preserve">. </w:t>
            </w:r>
            <w:r w:rsidRPr="00994D78">
              <w:rPr>
                <w:b/>
                <w:color w:val="000000" w:themeColor="text1"/>
                <w:sz w:val="18"/>
                <w:szCs w:val="18"/>
                <w:lang w:val="en-GB"/>
              </w:rPr>
              <w:t xml:space="preserve">Target 1: </w:t>
            </w:r>
            <w:r w:rsidRPr="00994D78">
              <w:rPr>
                <w:color w:val="000000" w:themeColor="text1"/>
                <w:sz w:val="18"/>
                <w:szCs w:val="18"/>
                <w:lang w:val="en-GB"/>
              </w:rPr>
              <w:t xml:space="preserve">At least one annually. </w:t>
            </w:r>
            <w:r w:rsidRPr="00994D78">
              <w:rPr>
                <w:b/>
                <w:color w:val="000000" w:themeColor="text1"/>
                <w:sz w:val="18"/>
                <w:szCs w:val="18"/>
                <w:lang w:val="en-GB"/>
              </w:rPr>
              <w:t>Indicator 2:</w:t>
            </w:r>
            <w:r w:rsidR="00E25A62">
              <w:rPr>
                <w:color w:val="000000" w:themeColor="text1"/>
                <w:sz w:val="18"/>
                <w:szCs w:val="18"/>
                <w:lang w:val="en-GB"/>
              </w:rPr>
              <w:t xml:space="preserve">  </w:t>
            </w:r>
            <w:r w:rsidRPr="00994D78">
              <w:rPr>
                <w:color w:val="000000" w:themeColor="text1"/>
                <w:sz w:val="18"/>
                <w:szCs w:val="18"/>
                <w:lang w:val="en-GB"/>
              </w:rPr>
              <w:t xml:space="preserve">Number of income generation and employment creation interventions for youth and women supported. </w:t>
            </w:r>
            <w:r w:rsidRPr="00994D78">
              <w:rPr>
                <w:b/>
                <w:color w:val="000000" w:themeColor="text1"/>
                <w:sz w:val="18"/>
                <w:szCs w:val="18"/>
                <w:lang w:val="en-GB"/>
              </w:rPr>
              <w:t xml:space="preserve">Baseline 2: </w:t>
            </w:r>
            <w:r w:rsidR="00E25A62" w:rsidRPr="00E25A62">
              <w:rPr>
                <w:color w:val="000000" w:themeColor="text1"/>
                <w:sz w:val="18"/>
                <w:szCs w:val="18"/>
                <w:lang w:val="en-GB"/>
              </w:rPr>
              <w:t>T</w:t>
            </w:r>
            <w:r w:rsidRPr="00994D78">
              <w:rPr>
                <w:color w:val="000000" w:themeColor="text1"/>
                <w:sz w:val="18"/>
                <w:szCs w:val="18"/>
                <w:lang w:val="en-GB"/>
              </w:rPr>
              <w:t xml:space="preserve">o be collected in year 1. </w:t>
            </w:r>
            <w:r w:rsidRPr="00994D78">
              <w:rPr>
                <w:b/>
                <w:color w:val="000000" w:themeColor="text1"/>
                <w:sz w:val="18"/>
                <w:szCs w:val="18"/>
                <w:lang w:val="en-GB"/>
              </w:rPr>
              <w:t xml:space="preserve">Target 2: </w:t>
            </w:r>
            <w:r w:rsidRPr="00994D78">
              <w:rPr>
                <w:color w:val="000000" w:themeColor="text1"/>
                <w:sz w:val="18"/>
                <w:szCs w:val="18"/>
                <w:lang w:val="en-GB"/>
              </w:rPr>
              <w:t>25% increase in income generation aimed at youth and women</w:t>
            </w:r>
            <w:r w:rsidR="00E25A62">
              <w:rPr>
                <w:color w:val="000000" w:themeColor="text1"/>
                <w:sz w:val="18"/>
                <w:szCs w:val="18"/>
                <w:lang w:val="en-GB"/>
              </w:rPr>
              <w:t>.</w:t>
            </w:r>
            <w:r w:rsidRPr="00994D78">
              <w:rPr>
                <w:color w:val="000000" w:themeColor="text1"/>
                <w:sz w:val="18"/>
                <w:szCs w:val="18"/>
                <w:lang w:val="en-GB"/>
              </w:rPr>
              <w:t xml:space="preserve"> </w:t>
            </w:r>
            <w:r w:rsidRPr="00994D78">
              <w:rPr>
                <w:b/>
                <w:color w:val="000000" w:themeColor="text1"/>
                <w:sz w:val="18"/>
                <w:szCs w:val="18"/>
                <w:lang w:val="en-GB"/>
              </w:rPr>
              <w:t>Target 2.</w:t>
            </w:r>
            <w:r w:rsidR="00E25A62">
              <w:rPr>
                <w:b/>
                <w:color w:val="000000" w:themeColor="text1"/>
                <w:sz w:val="18"/>
                <w:szCs w:val="18"/>
                <w:lang w:val="en-GB"/>
              </w:rPr>
              <w:t>1</w:t>
            </w:r>
            <w:r w:rsidRPr="00994D78">
              <w:rPr>
                <w:b/>
                <w:color w:val="000000" w:themeColor="text1"/>
                <w:sz w:val="18"/>
                <w:szCs w:val="18"/>
                <w:lang w:val="en-GB"/>
              </w:rPr>
              <w:t xml:space="preserve">: </w:t>
            </w:r>
            <w:r w:rsidR="00C10B5E" w:rsidRPr="00994D78">
              <w:rPr>
                <w:color w:val="000000" w:themeColor="text1"/>
                <w:sz w:val="18"/>
                <w:szCs w:val="18"/>
                <w:lang w:val="en-GB"/>
              </w:rPr>
              <w:t>UNDP</w:t>
            </w:r>
            <w:r w:rsidRPr="00994D78">
              <w:rPr>
                <w:color w:val="000000" w:themeColor="text1"/>
                <w:sz w:val="18"/>
                <w:szCs w:val="18"/>
                <w:lang w:val="en-GB"/>
              </w:rPr>
              <w:t xml:space="preserve"> implementing gender-responsive procurement. </w:t>
            </w:r>
            <w:r w:rsidRPr="00994D78">
              <w:rPr>
                <w:b/>
                <w:color w:val="000000" w:themeColor="text1"/>
                <w:sz w:val="18"/>
                <w:szCs w:val="18"/>
                <w:lang w:val="en-GB"/>
              </w:rPr>
              <w:t>Indicator 3:</w:t>
            </w:r>
            <w:r w:rsidRPr="00994D78">
              <w:rPr>
                <w:color w:val="000000" w:themeColor="text1"/>
                <w:sz w:val="18"/>
                <w:szCs w:val="18"/>
                <w:lang w:val="en-GB"/>
              </w:rPr>
              <w:t xml:space="preserve">  % of youth and women populations having access to and control over productive resources and services. </w:t>
            </w:r>
            <w:r w:rsidRPr="00994D78">
              <w:rPr>
                <w:b/>
                <w:color w:val="000000" w:themeColor="text1"/>
                <w:sz w:val="18"/>
                <w:szCs w:val="18"/>
                <w:lang w:val="en-GB"/>
              </w:rPr>
              <w:t xml:space="preserve">Baseline 3: </w:t>
            </w:r>
            <w:r w:rsidRPr="00994D78">
              <w:rPr>
                <w:color w:val="000000" w:themeColor="text1"/>
                <w:sz w:val="18"/>
                <w:szCs w:val="18"/>
                <w:lang w:val="en-GB"/>
              </w:rPr>
              <w:t xml:space="preserve">15.8%. </w:t>
            </w:r>
            <w:r w:rsidRPr="00994D78">
              <w:rPr>
                <w:b/>
                <w:color w:val="000000" w:themeColor="text1"/>
                <w:sz w:val="18"/>
                <w:szCs w:val="18"/>
                <w:lang w:val="en-GB"/>
              </w:rPr>
              <w:t xml:space="preserve">Target 3: </w:t>
            </w:r>
            <w:r w:rsidRPr="00994D78">
              <w:rPr>
                <w:color w:val="000000" w:themeColor="text1"/>
                <w:sz w:val="18"/>
                <w:szCs w:val="18"/>
                <w:lang w:val="en-GB"/>
              </w:rPr>
              <w:t xml:space="preserve">At least 30%.   </w:t>
            </w:r>
          </w:p>
        </w:tc>
        <w:tc>
          <w:tcPr>
            <w:tcW w:w="550"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673C33">
            <w:pPr>
              <w:spacing w:after="20"/>
              <w:rPr>
                <w:color w:val="000000" w:themeColor="text1"/>
                <w:sz w:val="18"/>
                <w:szCs w:val="18"/>
                <w:lang w:val="en-GB"/>
              </w:rPr>
            </w:pPr>
            <w:r w:rsidRPr="00994D78">
              <w:rPr>
                <w:color w:val="000000" w:themeColor="text1"/>
                <w:sz w:val="18"/>
                <w:szCs w:val="18"/>
                <w:lang w:val="en-GB"/>
              </w:rPr>
              <w:t xml:space="preserve">1) Analysis and </w:t>
            </w:r>
            <w:r w:rsidR="00E25A62">
              <w:rPr>
                <w:color w:val="000000" w:themeColor="text1"/>
                <w:sz w:val="18"/>
                <w:szCs w:val="18"/>
                <w:lang w:val="en-GB"/>
              </w:rPr>
              <w:t>r</w:t>
            </w:r>
            <w:r w:rsidRPr="00994D78">
              <w:rPr>
                <w:color w:val="000000" w:themeColor="text1"/>
                <w:sz w:val="18"/>
                <w:szCs w:val="18"/>
                <w:lang w:val="en-GB"/>
              </w:rPr>
              <w:t xml:space="preserve">esearch on root causes of poverty conducted and policy dialogue forums held 2) Mapping, coordinating and tracking of income generation interventions completed </w:t>
            </w:r>
            <w:r w:rsidR="0097221A">
              <w:rPr>
                <w:color w:val="000000" w:themeColor="text1"/>
                <w:sz w:val="18"/>
                <w:szCs w:val="18"/>
                <w:lang w:val="en-GB"/>
              </w:rPr>
              <w:t xml:space="preserve"> </w:t>
            </w:r>
            <w:r w:rsidRPr="00994D78">
              <w:rPr>
                <w:color w:val="000000" w:themeColor="text1"/>
                <w:sz w:val="18"/>
                <w:szCs w:val="18"/>
                <w:lang w:val="en-GB"/>
              </w:rPr>
              <w:t>3) Multi-dimensional poverty measure developed and adopted 4) Gender-responsive procurement integrated into UN Common services.</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300,000</w:t>
            </w:r>
          </w:p>
          <w:p w:rsidR="00A5635F" w:rsidRPr="00994D78" w:rsidRDefault="00A5635F" w:rsidP="000F298F">
            <w:pPr>
              <w:spacing w:after="20"/>
              <w:rPr>
                <w:b/>
                <w:color w:val="000000" w:themeColor="text1"/>
                <w:sz w:val="18"/>
                <w:szCs w:val="18"/>
                <w:lang w:val="en-GB"/>
              </w:rPr>
            </w:pP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500,000</w:t>
            </w:r>
          </w:p>
          <w:p w:rsidR="00A5635F" w:rsidRPr="00994D78" w:rsidRDefault="00A5635F" w:rsidP="000F298F">
            <w:pPr>
              <w:spacing w:after="20"/>
              <w:rPr>
                <w:color w:val="000000" w:themeColor="text1"/>
                <w:sz w:val="18"/>
                <w:szCs w:val="18"/>
                <w:lang w:val="en-GB"/>
              </w:rPr>
            </w:pPr>
          </w:p>
        </w:tc>
      </w:tr>
      <w:tr w:rsidR="00A5635F" w:rsidRPr="005E7FF3" w:rsidTr="003105C9">
        <w:trPr>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724EF9">
            <w:pPr>
              <w:rPr>
                <w:color w:val="000000" w:themeColor="text1"/>
                <w:sz w:val="18"/>
                <w:szCs w:val="18"/>
                <w:lang w:val="en-GB" w:eastAsia="en-GB"/>
              </w:rPr>
            </w:pPr>
            <w:r w:rsidRPr="00994D78">
              <w:rPr>
                <w:b/>
                <w:bCs/>
                <w:color w:val="000000" w:themeColor="text1"/>
                <w:sz w:val="18"/>
                <w:szCs w:val="18"/>
                <w:lang w:val="en-GB"/>
              </w:rPr>
              <w:t xml:space="preserve">NATIONAL PRIORITY OR GOAL: </w:t>
            </w:r>
            <w:r w:rsidR="00B80461" w:rsidRPr="00994D78">
              <w:rPr>
                <w:iCs/>
                <w:color w:val="000000" w:themeColor="text1"/>
                <w:sz w:val="18"/>
                <w:szCs w:val="18"/>
                <w:lang w:val="en-GB"/>
              </w:rPr>
              <w:t>Namibia</w:t>
            </w:r>
            <w:r w:rsidR="00A1698F" w:rsidRPr="00994D78">
              <w:rPr>
                <w:iCs/>
                <w:color w:val="000000" w:themeColor="text1"/>
                <w:sz w:val="18"/>
                <w:szCs w:val="18"/>
                <w:lang w:val="en-GB"/>
              </w:rPr>
              <w:t xml:space="preserve"> is the most competitive tourism destination in sub-Saharan Africa by 2017, as measured by the World Economic Forum, Travel and Tourism Competitiveness Index. Namibia’s ranking has increased from being third in sub-Saharan Africa with an overall ranking of 3.84 out of 7.0 (2011/12) to being first, with a ranking of at least 4.4 out of 7.0.</w:t>
            </w:r>
            <w:r w:rsidR="00A1698F" w:rsidRPr="00994D78">
              <w:rPr>
                <w:color w:val="000000" w:themeColor="text1"/>
                <w:sz w:val="18"/>
                <w:szCs w:val="18"/>
                <w:lang w:val="en-GB" w:eastAsia="en-GB"/>
              </w:rPr>
              <w:t xml:space="preserve"> </w:t>
            </w: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24" w:type="pct"/>
            <w:shd w:val="clear" w:color="auto" w:fill="auto"/>
          </w:tcPr>
          <w:p w:rsidR="00A5635F" w:rsidRPr="005E7FF3" w:rsidRDefault="00A5635F" w:rsidP="000F298F">
            <w:pPr>
              <w:rPr>
                <w:color w:val="000000" w:themeColor="text1"/>
                <w:sz w:val="18"/>
                <w:szCs w:val="18"/>
                <w:lang w:val="en-GB"/>
              </w:rPr>
            </w:pPr>
            <w:r w:rsidRPr="005E7FF3">
              <w:rPr>
                <w:b/>
                <w:color w:val="000000" w:themeColor="text1"/>
                <w:sz w:val="18"/>
                <w:szCs w:val="18"/>
                <w:lang w:val="en-GB"/>
              </w:rPr>
              <w:t>Other 500,000</w:t>
            </w:r>
          </w:p>
        </w:tc>
      </w:tr>
      <w:tr w:rsidR="00A5635F"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27B05" w:rsidP="003105C9">
            <w:pPr>
              <w:rPr>
                <w:b/>
                <w:color w:val="000000" w:themeColor="text1"/>
                <w:sz w:val="18"/>
                <w:szCs w:val="18"/>
                <w:lang w:val="en-GB"/>
              </w:rPr>
            </w:pPr>
            <w:bookmarkStart w:id="1" w:name="_Toc350237198"/>
            <w:bookmarkStart w:id="2" w:name="_Toc350236396"/>
            <w:bookmarkStart w:id="3" w:name="_Toc350109282"/>
            <w:r w:rsidRPr="00994D78">
              <w:rPr>
                <w:b/>
                <w:bCs/>
                <w:color w:val="000000" w:themeColor="text1"/>
                <w:sz w:val="18"/>
                <w:szCs w:val="18"/>
                <w:lang w:val="en-GB"/>
              </w:rPr>
              <w:t>UNPAF / COUNTRY PROGRAMME OUTCOME #8:</w:t>
            </w:r>
            <w:r w:rsidRPr="00994D78">
              <w:rPr>
                <w:color w:val="000000" w:themeColor="text1"/>
                <w:sz w:val="18"/>
                <w:szCs w:val="18"/>
                <w:lang w:val="en-GB"/>
              </w:rPr>
              <w:t xml:space="preserve"> </w:t>
            </w:r>
            <w:r w:rsidR="00A1698F" w:rsidRPr="00994D78">
              <w:rPr>
                <w:color w:val="000000" w:themeColor="text1"/>
                <w:sz w:val="18"/>
                <w:szCs w:val="18"/>
                <w:lang w:val="en-GB"/>
              </w:rPr>
              <w:t xml:space="preserve">By 2018, institutional frameworks and policies needed to implement the Environmental Management Act (2007), National Climate Change Policy (2011) and international conventions are in place and being effectively implemented.  </w:t>
            </w:r>
            <w:bookmarkEnd w:id="1"/>
            <w:bookmarkEnd w:id="2"/>
            <w:bookmarkEnd w:id="3"/>
            <w:r w:rsidR="00A1698F" w:rsidRPr="00994D78">
              <w:rPr>
                <w:b/>
                <w:bCs/>
                <w:color w:val="000000" w:themeColor="text1"/>
                <w:sz w:val="18"/>
                <w:szCs w:val="18"/>
                <w:lang w:val="en-GB"/>
              </w:rPr>
              <w:t xml:space="preserve">Outcome indicator: </w:t>
            </w:r>
            <w:r w:rsidR="00A1698F" w:rsidRPr="00994D78">
              <w:rPr>
                <w:color w:val="000000" w:themeColor="text1"/>
                <w:sz w:val="18"/>
                <w:szCs w:val="18"/>
                <w:lang w:val="en-GB"/>
              </w:rPr>
              <w:t>Number of environmental institutions fully equipped with standards, guidelines and specialized skills</w:t>
            </w:r>
            <w:r w:rsidR="00A1698F" w:rsidRPr="00994D78">
              <w:rPr>
                <w:rStyle w:val="CommentReference"/>
                <w:color w:val="000000" w:themeColor="text1"/>
                <w:sz w:val="18"/>
                <w:szCs w:val="18"/>
                <w:lang w:val="en-GB"/>
              </w:rPr>
              <w:t xml:space="preserve">: </w:t>
            </w:r>
            <w:r w:rsidR="00A1698F" w:rsidRPr="00994D78">
              <w:rPr>
                <w:color w:val="000000" w:themeColor="text1"/>
                <w:sz w:val="18"/>
                <w:szCs w:val="18"/>
                <w:lang w:val="en-GB"/>
              </w:rPr>
              <w:t>Programme Component 3: Energy and environment for sustainable development, including building resilience</w:t>
            </w:r>
            <w:r w:rsidR="004B0F7A">
              <w:rPr>
                <w:color w:val="000000" w:themeColor="text1"/>
                <w:sz w:val="18"/>
                <w:szCs w:val="18"/>
                <w:lang w:val="en-GB"/>
              </w:rPr>
              <w:t>.</w:t>
            </w:r>
          </w:p>
        </w:tc>
      </w:tr>
      <w:tr w:rsidR="003105C9" w:rsidRPr="005E7FF3" w:rsidTr="008B0440">
        <w:trPr>
          <w:gridAfter w:val="5"/>
          <w:wAfter w:w="1680" w:type="pct"/>
          <w:trHeight w:val="22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C65660">
            <w:pPr>
              <w:spacing w:after="20"/>
              <w:rPr>
                <w:color w:val="000000" w:themeColor="text1"/>
                <w:sz w:val="18"/>
                <w:szCs w:val="18"/>
                <w:lang w:val="en-GB"/>
              </w:rPr>
            </w:pPr>
            <w:r w:rsidRPr="00994D78">
              <w:rPr>
                <w:color w:val="000000" w:themeColor="text1"/>
                <w:sz w:val="18"/>
                <w:szCs w:val="18"/>
                <w:lang w:val="en-GB"/>
              </w:rPr>
              <w:t xml:space="preserve">Government will </w:t>
            </w:r>
            <w:r w:rsidR="003105C9">
              <w:rPr>
                <w:color w:val="000000" w:themeColor="text1"/>
                <w:sz w:val="18"/>
                <w:szCs w:val="18"/>
                <w:lang w:val="en-GB"/>
              </w:rPr>
              <w:t xml:space="preserve">maintain parks infrastructure, </w:t>
            </w:r>
            <w:r w:rsidRPr="00994D78">
              <w:rPr>
                <w:color w:val="000000" w:themeColor="text1"/>
                <w:sz w:val="18"/>
                <w:szCs w:val="18"/>
                <w:lang w:val="en-GB"/>
              </w:rPr>
              <w:t>finalize tourism growth plan, promote market and product development, develop, attract and r</w:t>
            </w:r>
            <w:r w:rsidR="0097221A">
              <w:rPr>
                <w:color w:val="000000" w:themeColor="text1"/>
                <w:sz w:val="18"/>
                <w:szCs w:val="18"/>
                <w:lang w:val="en-GB"/>
              </w:rPr>
              <w:t xml:space="preserve">etain skilled human resources, </w:t>
            </w:r>
            <w:r w:rsidRPr="00994D78">
              <w:rPr>
                <w:color w:val="000000" w:themeColor="text1"/>
                <w:sz w:val="18"/>
                <w:szCs w:val="18"/>
                <w:lang w:val="en-GB"/>
              </w:rPr>
              <w:t xml:space="preserve">as well improve synergies within the tourism </w:t>
            </w:r>
            <w:r w:rsidR="00A1698F" w:rsidRPr="00994D78">
              <w:rPr>
                <w:color w:val="000000" w:themeColor="text1"/>
                <w:sz w:val="18"/>
                <w:szCs w:val="18"/>
                <w:lang w:val="en-GB"/>
              </w:rPr>
              <w:t>industry</w:t>
            </w:r>
            <w:r w:rsidR="004B0F7A">
              <w:rPr>
                <w:color w:val="000000" w:themeColor="text1"/>
                <w:sz w:val="18"/>
                <w:szCs w:val="18"/>
                <w:lang w:val="en-GB"/>
              </w:rPr>
              <w:t>.</w:t>
            </w:r>
          </w:p>
        </w:tc>
        <w:tc>
          <w:tcPr>
            <w:tcW w:w="448"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Partners:</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NNFU, NCCI and GEF</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Contribution:</w:t>
            </w:r>
          </w:p>
          <w:p w:rsidR="00A578C0" w:rsidRPr="00994D78" w:rsidRDefault="006C0EE5" w:rsidP="006C0EE5">
            <w:pPr>
              <w:pStyle w:val="Default"/>
              <w:numPr>
                <w:ilvl w:val="1"/>
                <w:numId w:val="10"/>
              </w:numPr>
              <w:ind w:left="0"/>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A</w:t>
            </w:r>
            <w:r w:rsidR="008012A0" w:rsidRPr="00994D78">
              <w:rPr>
                <w:rFonts w:ascii="Times New Roman" w:hAnsi="Times New Roman" w:cs="Times New Roman"/>
                <w:color w:val="000000" w:themeColor="text1"/>
                <w:sz w:val="18"/>
                <w:szCs w:val="18"/>
                <w:lang w:val="en-GB"/>
              </w:rPr>
              <w:t xml:space="preserve">dvocacy for scaling-up of climate-smart agricultural methods and develop markets for </w:t>
            </w:r>
            <w:proofErr w:type="spellStart"/>
            <w:r w:rsidR="008012A0" w:rsidRPr="00994D78">
              <w:rPr>
                <w:rFonts w:ascii="Times New Roman" w:hAnsi="Times New Roman" w:cs="Times New Roman"/>
                <w:color w:val="000000" w:themeColor="text1"/>
                <w:sz w:val="18"/>
                <w:szCs w:val="18"/>
                <w:lang w:val="en-GB"/>
              </w:rPr>
              <w:t>dryland</w:t>
            </w:r>
            <w:proofErr w:type="spellEnd"/>
            <w:r w:rsidR="008012A0" w:rsidRPr="00994D78">
              <w:rPr>
                <w:rFonts w:ascii="Times New Roman" w:hAnsi="Times New Roman" w:cs="Times New Roman"/>
                <w:color w:val="000000" w:themeColor="text1"/>
                <w:sz w:val="18"/>
                <w:szCs w:val="18"/>
                <w:lang w:val="en-GB"/>
              </w:rPr>
              <w:t xml:space="preserve"> products. The GEF, via the SCCF, will provide co-financing</w:t>
            </w:r>
            <w:r w:rsidRPr="00994D78">
              <w:rPr>
                <w:rFonts w:ascii="Times New Roman" w:hAnsi="Times New Roman" w:cs="Times New Roman"/>
                <w:color w:val="000000" w:themeColor="text1"/>
                <w:sz w:val="18"/>
                <w:szCs w:val="18"/>
                <w:lang w:val="en-GB"/>
              </w:rPr>
              <w:t>.</w:t>
            </w:r>
            <w:r w:rsidR="008012A0" w:rsidRPr="00994D78">
              <w:rPr>
                <w:rFonts w:ascii="Times New Roman" w:hAnsi="Times New Roman" w:cs="Times New Roman"/>
                <w:color w:val="000000" w:themeColor="text1"/>
                <w:sz w:val="18"/>
                <w:szCs w:val="18"/>
                <w:lang w:val="en-GB"/>
              </w:rPr>
              <w:t xml:space="preserve"> </w:t>
            </w:r>
          </w:p>
        </w:tc>
        <w:tc>
          <w:tcPr>
            <w:tcW w:w="540"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3105C9">
            <w:pPr>
              <w:rPr>
                <w:color w:val="000000" w:themeColor="text1"/>
                <w:sz w:val="18"/>
                <w:szCs w:val="18"/>
                <w:lang w:val="en-GB"/>
              </w:rPr>
            </w:pPr>
            <w:r w:rsidRPr="00994D78">
              <w:rPr>
                <w:color w:val="000000" w:themeColor="text1"/>
                <w:sz w:val="18"/>
                <w:szCs w:val="18"/>
                <w:lang w:val="en-GB"/>
              </w:rPr>
              <w:t>Policy advice and technical support, access to knowledge, networks, good practices and capacity building for environmental gover</w:t>
            </w:r>
            <w:r w:rsidR="003105C9">
              <w:rPr>
                <w:color w:val="000000" w:themeColor="text1"/>
                <w:sz w:val="18"/>
                <w:szCs w:val="18"/>
                <w:lang w:val="en-GB"/>
              </w:rPr>
              <w:t xml:space="preserve">nance and M&amp;E. Support for policy </w:t>
            </w:r>
            <w:r w:rsidRPr="00994D78">
              <w:rPr>
                <w:color w:val="000000" w:themeColor="text1"/>
                <w:sz w:val="18"/>
                <w:szCs w:val="18"/>
                <w:lang w:val="en-GB"/>
              </w:rPr>
              <w:t>implementation and pilot interventions in environmental and natural resource management</w:t>
            </w:r>
            <w:r w:rsidR="005A6360" w:rsidRPr="00994D78">
              <w:rPr>
                <w:color w:val="000000" w:themeColor="text1"/>
                <w:sz w:val="18"/>
                <w:szCs w:val="18"/>
                <w:lang w:val="en-GB"/>
              </w:rPr>
              <w:t xml:space="preserve">, including climate change and </w:t>
            </w:r>
            <w:r w:rsidR="004B0F7A" w:rsidRPr="00994D78">
              <w:rPr>
                <w:color w:val="000000" w:themeColor="text1"/>
                <w:sz w:val="18"/>
                <w:szCs w:val="18"/>
                <w:lang w:val="en-GB"/>
              </w:rPr>
              <w:t>variability</w:t>
            </w:r>
            <w:r w:rsidRPr="00994D78">
              <w:rPr>
                <w:color w:val="000000" w:themeColor="text1"/>
                <w:sz w:val="18"/>
                <w:szCs w:val="18"/>
                <w:lang w:val="en-GB"/>
              </w:rPr>
              <w:t>.</w:t>
            </w:r>
          </w:p>
        </w:tc>
        <w:tc>
          <w:tcPr>
            <w:tcW w:w="926"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1698F" w:rsidP="00F1353B">
            <w:pPr>
              <w:spacing w:after="20"/>
              <w:rPr>
                <w:color w:val="000000" w:themeColor="text1"/>
                <w:sz w:val="18"/>
                <w:szCs w:val="18"/>
                <w:lang w:val="en-GB"/>
              </w:rPr>
            </w:pPr>
            <w:r w:rsidRPr="00994D78">
              <w:rPr>
                <w:b/>
                <w:color w:val="000000" w:themeColor="text1"/>
                <w:sz w:val="18"/>
                <w:szCs w:val="18"/>
                <w:lang w:val="en-GB"/>
              </w:rPr>
              <w:t xml:space="preserve">Indicator 1: </w:t>
            </w:r>
            <w:r w:rsidRPr="00994D78">
              <w:rPr>
                <w:color w:val="000000" w:themeColor="text1"/>
                <w:sz w:val="18"/>
                <w:szCs w:val="18"/>
                <w:lang w:val="en-GB"/>
              </w:rPr>
              <w:t>Number of smallholder field farmer</w:t>
            </w:r>
            <w:r w:rsidR="00C7665B" w:rsidRPr="00994D78">
              <w:rPr>
                <w:color w:val="000000" w:themeColor="text1"/>
                <w:sz w:val="18"/>
                <w:szCs w:val="18"/>
                <w:lang w:val="en-GB"/>
              </w:rPr>
              <w:t>s</w:t>
            </w:r>
            <w:r w:rsidRPr="00994D78">
              <w:rPr>
                <w:color w:val="000000" w:themeColor="text1"/>
                <w:sz w:val="18"/>
                <w:szCs w:val="18"/>
                <w:lang w:val="en-GB"/>
              </w:rPr>
              <w:t xml:space="preserve"> and schools </w:t>
            </w:r>
            <w:r w:rsidR="00F1353B">
              <w:rPr>
                <w:color w:val="000000" w:themeColor="text1"/>
                <w:sz w:val="18"/>
                <w:szCs w:val="18"/>
                <w:lang w:val="en-GB"/>
              </w:rPr>
              <w:t>employing</w:t>
            </w:r>
            <w:r w:rsidRPr="00994D78">
              <w:rPr>
                <w:color w:val="000000" w:themeColor="text1"/>
                <w:sz w:val="18"/>
                <w:szCs w:val="18"/>
                <w:lang w:val="en-GB"/>
              </w:rPr>
              <w:t xml:space="preserve"> drought resilient land management practices</w:t>
            </w:r>
            <w:r w:rsidR="00315962">
              <w:rPr>
                <w:color w:val="000000" w:themeColor="text1"/>
                <w:sz w:val="18"/>
                <w:szCs w:val="18"/>
                <w:lang w:val="en-GB"/>
              </w:rPr>
              <w:t xml:space="preserve"> and serving the community</w:t>
            </w:r>
            <w:r w:rsidR="00957EE7" w:rsidRPr="00994D78">
              <w:rPr>
                <w:color w:val="000000" w:themeColor="text1"/>
                <w:sz w:val="18"/>
                <w:szCs w:val="18"/>
                <w:lang w:val="en-GB"/>
              </w:rPr>
              <w:t xml:space="preserve">. </w:t>
            </w:r>
            <w:r w:rsidRPr="00994D78">
              <w:rPr>
                <w:b/>
                <w:color w:val="000000" w:themeColor="text1"/>
                <w:sz w:val="18"/>
                <w:szCs w:val="18"/>
                <w:lang w:val="en-GB"/>
              </w:rPr>
              <w:t>Baseline 1 (2012):</w:t>
            </w:r>
            <w:r w:rsidRPr="00994D78">
              <w:rPr>
                <w:color w:val="000000" w:themeColor="text1"/>
                <w:sz w:val="18"/>
                <w:szCs w:val="18"/>
                <w:lang w:val="en-GB"/>
              </w:rPr>
              <w:t xml:space="preserve"> Environmental Commissioner appointed, brown agenda identified as priority, 2012 Namibia Customs Smelter (NCS) audit conducted. </w:t>
            </w:r>
            <w:r w:rsidRPr="00994D78">
              <w:rPr>
                <w:b/>
                <w:color w:val="000000" w:themeColor="text1"/>
                <w:sz w:val="18"/>
                <w:szCs w:val="18"/>
                <w:lang w:val="en-GB"/>
              </w:rPr>
              <w:t>Target 1:</w:t>
            </w:r>
            <w:r w:rsidRPr="00994D78">
              <w:rPr>
                <w:color w:val="000000" w:themeColor="text1"/>
                <w:sz w:val="18"/>
                <w:szCs w:val="18"/>
                <w:lang w:val="en-GB"/>
              </w:rPr>
              <w:t xml:space="preserve"> 200 trained farmer field school leaders and coordinators in drought resilient land management practices serving 4000 households, 60-80% of </w:t>
            </w:r>
            <w:r w:rsidR="00315962">
              <w:rPr>
                <w:color w:val="000000" w:themeColor="text1"/>
                <w:sz w:val="18"/>
                <w:szCs w:val="18"/>
                <w:lang w:val="en-GB"/>
              </w:rPr>
              <w:t>which</w:t>
            </w:r>
            <w:r w:rsidRPr="00994D78">
              <w:rPr>
                <w:color w:val="000000" w:themeColor="text1"/>
                <w:sz w:val="18"/>
                <w:szCs w:val="18"/>
                <w:lang w:val="en-GB"/>
              </w:rPr>
              <w:t xml:space="preserve"> are </w:t>
            </w:r>
            <w:r w:rsidR="00315962">
              <w:rPr>
                <w:color w:val="000000" w:themeColor="text1"/>
                <w:sz w:val="18"/>
                <w:szCs w:val="18"/>
                <w:lang w:val="en-GB"/>
              </w:rPr>
              <w:t>female, youth and/or</w:t>
            </w:r>
            <w:r w:rsidRPr="00994D78">
              <w:rPr>
                <w:color w:val="000000" w:themeColor="text1"/>
                <w:sz w:val="18"/>
                <w:szCs w:val="18"/>
                <w:lang w:val="en-GB"/>
              </w:rPr>
              <w:t xml:space="preserve"> child-headed, </w:t>
            </w:r>
            <w:r w:rsidR="00315962">
              <w:rPr>
                <w:color w:val="000000" w:themeColor="text1"/>
                <w:sz w:val="18"/>
                <w:szCs w:val="18"/>
                <w:lang w:val="en-GB"/>
              </w:rPr>
              <w:t xml:space="preserve">with </w:t>
            </w:r>
            <w:r w:rsidRPr="00994D78">
              <w:rPr>
                <w:color w:val="000000" w:themeColor="text1"/>
                <w:sz w:val="18"/>
                <w:szCs w:val="18"/>
                <w:lang w:val="en-GB"/>
              </w:rPr>
              <w:t>specific</w:t>
            </w:r>
            <w:r w:rsidR="00315962">
              <w:rPr>
                <w:color w:val="000000" w:themeColor="text1"/>
                <w:sz w:val="18"/>
                <w:szCs w:val="18"/>
                <w:lang w:val="en-GB"/>
              </w:rPr>
              <w:t>s</w:t>
            </w:r>
            <w:r w:rsidRPr="00994D78">
              <w:rPr>
                <w:color w:val="000000" w:themeColor="text1"/>
                <w:sz w:val="18"/>
                <w:szCs w:val="18"/>
                <w:lang w:val="en-GB"/>
              </w:rPr>
              <w:t xml:space="preserve"> to be agreed upon in the project formulation to facilitate local ownership, participation and full engagement in the preparation process.</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1698F" w:rsidRPr="00994D78" w:rsidRDefault="00001B90" w:rsidP="00A1698F">
            <w:pPr>
              <w:spacing w:after="20"/>
              <w:rPr>
                <w:color w:val="000000" w:themeColor="text1"/>
                <w:sz w:val="18"/>
                <w:szCs w:val="18"/>
                <w:lang w:val="en-GB"/>
              </w:rPr>
            </w:pPr>
            <w:r w:rsidRPr="00994D78">
              <w:rPr>
                <w:color w:val="000000" w:themeColor="text1"/>
                <w:sz w:val="18"/>
                <w:szCs w:val="18"/>
                <w:lang w:val="en-GB"/>
              </w:rPr>
              <w:t xml:space="preserve">1) </w:t>
            </w:r>
            <w:r w:rsidR="00D2710A" w:rsidRPr="00994D78">
              <w:rPr>
                <w:color w:val="000000" w:themeColor="text1"/>
                <w:sz w:val="18"/>
                <w:szCs w:val="18"/>
                <w:lang w:val="en-GB"/>
              </w:rPr>
              <w:t>Smallholder farmer adaptive capacity for implementation of climate resilient agricultural production practices strengthened</w:t>
            </w:r>
            <w:r w:rsidR="005A6360" w:rsidRPr="00994D78">
              <w:rPr>
                <w:color w:val="000000" w:themeColor="text1"/>
                <w:sz w:val="18"/>
                <w:szCs w:val="18"/>
                <w:lang w:val="en-GB"/>
              </w:rPr>
              <w:t xml:space="preserve"> in six most of the affected regions 2) Reduced vulnerability to droughts and floods through restoration of wells and harvesting of floodwater for food security.</w:t>
            </w:r>
          </w:p>
          <w:p w:rsidR="00A5635F" w:rsidRPr="00994D78" w:rsidRDefault="00A5635F" w:rsidP="00724EF9">
            <w:pPr>
              <w:spacing w:after="20"/>
              <w:rPr>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32704">
            <w:pPr>
              <w:spacing w:after="20"/>
              <w:rPr>
                <w:b/>
                <w:color w:val="000000" w:themeColor="text1"/>
                <w:sz w:val="18"/>
                <w:szCs w:val="18"/>
                <w:lang w:val="en-GB"/>
              </w:rPr>
            </w:pPr>
            <w:r w:rsidRPr="00994D78">
              <w:rPr>
                <w:b/>
                <w:color w:val="000000" w:themeColor="text1"/>
                <w:sz w:val="18"/>
                <w:szCs w:val="18"/>
                <w:lang w:val="en-GB"/>
              </w:rPr>
              <w:t xml:space="preserve">Regular </w:t>
            </w:r>
          </w:p>
          <w:p w:rsidR="00732704" w:rsidRPr="00994D78" w:rsidRDefault="00732704" w:rsidP="00732704">
            <w:pPr>
              <w:spacing w:after="20"/>
              <w:rPr>
                <w:b/>
                <w:color w:val="000000" w:themeColor="text1"/>
                <w:sz w:val="18"/>
                <w:szCs w:val="18"/>
                <w:lang w:val="en-GB"/>
              </w:rPr>
            </w:pPr>
          </w:p>
          <w:p w:rsidR="00A5635F" w:rsidRPr="00994D78" w:rsidRDefault="00826A2B" w:rsidP="00732704">
            <w:pPr>
              <w:spacing w:after="20"/>
              <w:rPr>
                <w:b/>
                <w:color w:val="000000" w:themeColor="text1"/>
                <w:sz w:val="18"/>
                <w:szCs w:val="18"/>
                <w:lang w:val="en-GB"/>
              </w:rPr>
            </w:pPr>
            <w:r w:rsidRPr="00994D78">
              <w:rPr>
                <w:b/>
                <w:color w:val="000000" w:themeColor="text1"/>
                <w:sz w:val="18"/>
                <w:szCs w:val="18"/>
                <w:lang w:val="en-GB"/>
              </w:rPr>
              <w:t>800,000</w:t>
            </w:r>
          </w:p>
        </w:tc>
      </w:tr>
      <w:tr w:rsidR="003105C9" w:rsidRPr="008C368F" w:rsidTr="008B0440">
        <w:trPr>
          <w:gridAfter w:val="5"/>
          <w:wAfter w:w="1680" w:type="pct"/>
          <w:trHeight w:val="2244"/>
        </w:trPr>
        <w:tc>
          <w:tcPr>
            <w:tcW w:w="517"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448"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40" w:type="pct"/>
            <w:gridSpan w:val="3"/>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926"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24EF9">
            <w:pPr>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732704" w:rsidP="00724EF9">
            <w:pPr>
              <w:rPr>
                <w:b/>
                <w:color w:val="000000" w:themeColor="text1"/>
                <w:sz w:val="18"/>
                <w:szCs w:val="18"/>
                <w:lang w:val="en-GB"/>
              </w:rPr>
            </w:pPr>
            <w:r w:rsidRPr="00994D78">
              <w:rPr>
                <w:b/>
                <w:color w:val="000000" w:themeColor="text1"/>
                <w:sz w:val="18"/>
                <w:szCs w:val="18"/>
                <w:lang w:val="en-GB"/>
              </w:rPr>
              <w:t>10</w:t>
            </w:r>
            <w:r w:rsidR="00A1698F" w:rsidRPr="00994D78">
              <w:rPr>
                <w:b/>
                <w:color w:val="000000" w:themeColor="text1"/>
                <w:sz w:val="18"/>
                <w:szCs w:val="18"/>
                <w:lang w:val="en-GB"/>
              </w:rPr>
              <w:t>,000,000</w:t>
            </w:r>
          </w:p>
        </w:tc>
      </w:tr>
    </w:tbl>
    <w:p w:rsidR="00B961B7" w:rsidRPr="008C368F" w:rsidRDefault="00B961B7" w:rsidP="003105C9">
      <w:pPr>
        <w:rPr>
          <w:color w:val="000000" w:themeColor="text1"/>
          <w:lang w:val="en-GB"/>
        </w:rPr>
      </w:pPr>
    </w:p>
    <w:sectPr w:rsidR="00B961B7" w:rsidRPr="008C368F" w:rsidSect="005C74B2">
      <w:headerReference w:type="even" r:id="rId13"/>
      <w:pgSz w:w="15840" w:h="12240" w:orient="landscape"/>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58" w:rsidRDefault="002F4858" w:rsidP="00441061">
      <w:r>
        <w:separator/>
      </w:r>
    </w:p>
  </w:endnote>
  <w:endnote w:type="continuationSeparator" w:id="0">
    <w:p w:rsidR="002F4858" w:rsidRDefault="002F4858" w:rsidP="0044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rsidP="004A6ABC">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07191">
      <w:rPr>
        <w:b/>
        <w:noProof/>
        <w:sz w:val="17"/>
        <w:szCs w:val="17"/>
      </w:rPr>
      <w:t>6</w:t>
    </w:r>
    <w:r w:rsidRPr="005841A3">
      <w:rPr>
        <w:b/>
        <w:sz w:val="17"/>
        <w:szCs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07191">
      <w:rPr>
        <w:b/>
        <w:noProof/>
        <w:sz w:val="17"/>
        <w:szCs w:val="17"/>
      </w:rPr>
      <w:t>7</w:t>
    </w:r>
    <w:r w:rsidRPr="005841A3">
      <w:rPr>
        <w:b/>
        <w:sz w:val="17"/>
        <w:szCs w:val="17"/>
      </w:rPr>
      <w:fldChar w:fldCharType="end"/>
    </w:r>
  </w:p>
  <w:p w:rsidR="0059546F" w:rsidRDefault="0059546F" w:rsidP="005841A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58" w:rsidRDefault="002F4858" w:rsidP="00441061">
      <w:r>
        <w:separator/>
      </w:r>
    </w:p>
  </w:footnote>
  <w:footnote w:type="continuationSeparator" w:id="0">
    <w:p w:rsidR="002F4858" w:rsidRDefault="002F4858" w:rsidP="00441061">
      <w:r>
        <w:continuationSeparator/>
      </w:r>
    </w:p>
  </w:footnote>
  <w:footnote w:id="1">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Namibia Statistics Agency, 2013: Namibia Labour Force Survey 2012 Report. [online] Available at</w:t>
      </w:r>
      <w:r w:rsidRPr="00E61B31">
        <w:rPr>
          <w:rFonts w:ascii="Times New Roman" w:hAnsi="Times New Roman"/>
          <w:w w:val="80"/>
          <w:sz w:val="12"/>
          <w:szCs w:val="12"/>
        </w:rPr>
        <w:t xml:space="preserve"> </w:t>
      </w:r>
      <w:hyperlink r:id="rId1" w:history="1">
        <w:r w:rsidR="007A6D3A" w:rsidRPr="00E61B31">
          <w:rPr>
            <w:rStyle w:val="Hyperlink"/>
            <w:rFonts w:ascii="Times New Roman" w:hAnsi="Times New Roman"/>
            <w:w w:val="80"/>
            <w:sz w:val="12"/>
            <w:szCs w:val="12"/>
            <w:lang w:val="en-ZA"/>
          </w:rPr>
          <w:t>http://www.nsa.org.na/files/downloads/12c_The%20Namibia%20Labour%20Force%20Survey%202012%20Report.pdf</w:t>
        </w:r>
      </w:hyperlink>
    </w:p>
    <w:p w:rsidR="00F96994" w:rsidRPr="00E61B31" w:rsidRDefault="00F96994" w:rsidP="00F96994">
      <w:pPr>
        <w:pStyle w:val="FootnoteText"/>
        <w:rPr>
          <w:rFonts w:ascii="Times New Roman" w:hAnsi="Times New Roman"/>
          <w:w w:val="80"/>
          <w:sz w:val="12"/>
          <w:szCs w:val="12"/>
          <w:lang w:val="en-ZA"/>
        </w:rPr>
      </w:pPr>
      <w:r w:rsidRPr="00E61B31">
        <w:rPr>
          <w:rFonts w:ascii="Times New Roman" w:hAnsi="Times New Roman"/>
          <w:w w:val="80"/>
          <w:sz w:val="12"/>
          <w:szCs w:val="12"/>
          <w:lang w:val="en-ZA"/>
        </w:rPr>
        <w:t xml:space="preserve">Accessed 30 April 2013] </w:t>
      </w:r>
    </w:p>
  </w:footnote>
  <w:footnote w:id="2">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i/>
          <w:w w:val="80"/>
          <w:sz w:val="12"/>
          <w:szCs w:val="12"/>
          <w:lang w:val="en-ZA"/>
        </w:rPr>
        <w:t>Ibid</w:t>
      </w:r>
      <w:r w:rsidRPr="00E61B31">
        <w:rPr>
          <w:rFonts w:ascii="Times New Roman" w:hAnsi="Times New Roman"/>
          <w:w w:val="80"/>
          <w:sz w:val="12"/>
          <w:szCs w:val="12"/>
          <w:lang w:val="en-ZA"/>
        </w:rPr>
        <w:t>.</w:t>
      </w:r>
    </w:p>
  </w:footnote>
  <w:footnote w:id="3">
    <w:p w:rsidR="00482102" w:rsidRPr="00E61B31" w:rsidRDefault="0048210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w:t>
      </w:r>
      <w:r w:rsidR="007A6D3A" w:rsidRPr="00E61B31">
        <w:rPr>
          <w:rFonts w:ascii="Times New Roman" w:hAnsi="Times New Roman"/>
          <w:w w:val="80"/>
          <w:sz w:val="12"/>
          <w:szCs w:val="12"/>
        </w:rPr>
        <w:t>a</w:t>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Poverty Dynamics Report in Namibia. [online] Available at </w:t>
      </w:r>
      <w:hyperlink r:id="rId2" w:history="1">
        <w:r w:rsidRPr="00E61B31">
          <w:rPr>
            <w:rStyle w:val="Hyperlink"/>
            <w:rFonts w:ascii="Times New Roman" w:hAnsi="Times New Roman"/>
            <w:w w:val="80"/>
            <w:sz w:val="12"/>
            <w:szCs w:val="12"/>
            <w:lang w:val="en-ZA"/>
          </w:rPr>
          <w:t>http://www.nsa.org.na/files/downloads/b51_Poverty%20Dynamics%20Report%20in%20Namibia.pdf</w:t>
        </w:r>
      </w:hyperlink>
      <w:r w:rsidRPr="00E61B31">
        <w:rPr>
          <w:rFonts w:ascii="Times New Roman" w:hAnsi="Times New Roman"/>
          <w:w w:val="80"/>
          <w:sz w:val="12"/>
          <w:szCs w:val="12"/>
        </w:rPr>
        <w:t>. [Accessed 30 April 2013]</w:t>
      </w:r>
    </w:p>
  </w:footnote>
  <w:footnote w:id="4">
    <w:p w:rsidR="00F96994" w:rsidRPr="00E61B31" w:rsidRDefault="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00EC2732" w:rsidRPr="00E61B31">
        <w:rPr>
          <w:rFonts w:ascii="Times New Roman" w:hAnsi="Times New Roman"/>
          <w:i/>
          <w:w w:val="80"/>
          <w:sz w:val="12"/>
          <w:szCs w:val="12"/>
          <w:lang w:val="en-ZA"/>
        </w:rPr>
        <w:t>Ibid</w:t>
      </w:r>
      <w:r w:rsidRPr="00E61B31">
        <w:rPr>
          <w:rFonts w:ascii="Times New Roman" w:hAnsi="Times New Roman"/>
          <w:i/>
          <w:w w:val="80"/>
          <w:sz w:val="12"/>
          <w:szCs w:val="12"/>
          <w:lang w:val="en-ZA"/>
        </w:rPr>
        <w:t>.</w:t>
      </w:r>
    </w:p>
  </w:footnote>
  <w:footnote w:id="5">
    <w:p w:rsidR="00EC2732" w:rsidRPr="00E02E8D" w:rsidRDefault="00EC273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UNDP, 2013: Human Development Report 2013: The Rise of the South: Human Progress in a Diverse World. [online] Available</w:t>
      </w:r>
      <w:r w:rsidRPr="00E61B31">
        <w:rPr>
          <w:rFonts w:ascii="Times New Roman" w:hAnsi="Times New Roman"/>
          <w:w w:val="80"/>
          <w:sz w:val="12"/>
          <w:szCs w:val="12"/>
          <w:lang w:val="en-ZA"/>
        </w:rPr>
        <w:t xml:space="preserve"> at </w:t>
      </w:r>
      <w:hyperlink r:id="rId3" w:history="1">
        <w:r w:rsidRPr="00E61B31">
          <w:rPr>
            <w:rStyle w:val="Hyperlink"/>
            <w:rFonts w:ascii="Times New Roman" w:hAnsi="Times New Roman"/>
            <w:w w:val="80"/>
            <w:sz w:val="12"/>
            <w:szCs w:val="12"/>
            <w:lang w:val="en-ZA"/>
          </w:rPr>
          <w:t>http://hdr.undp.org</w:t>
        </w:r>
      </w:hyperlink>
      <w:r w:rsidRPr="00E61B31">
        <w:rPr>
          <w:rFonts w:ascii="Times New Roman" w:hAnsi="Times New Roman"/>
          <w:w w:val="80"/>
          <w:sz w:val="12"/>
          <w:szCs w:val="12"/>
        </w:rPr>
        <w:t xml:space="preserve"> [Accessed 30 April 2013]</w:t>
      </w:r>
      <w:r w:rsidR="00E02E8D">
        <w:rPr>
          <w:rFonts w:ascii="Times New Roman" w:hAnsi="Times New Roman"/>
          <w:w w:val="80"/>
          <w:sz w:val="12"/>
          <w:szCs w:val="12"/>
        </w:rPr>
        <w:t xml:space="preserve">.  </w:t>
      </w:r>
      <w:r w:rsidR="00E02E8D" w:rsidRPr="00E02E8D">
        <w:rPr>
          <w:rFonts w:ascii="Times New Roman" w:hAnsi="Times New Roman"/>
          <w:color w:val="000000" w:themeColor="text1"/>
          <w:sz w:val="12"/>
          <w:szCs w:val="12"/>
          <w:lang w:val="en-GB"/>
        </w:rPr>
        <w:t>Importantly, when the 2012 HDI of 0.608 is adjusted for inequality, there is a 43.5% loss in value with the resultant Inequality-adjusted HDI being 0.344.</w:t>
      </w:r>
    </w:p>
  </w:footnote>
  <w:footnote w:id="6">
    <w:p w:rsidR="007A6D3A" w:rsidRPr="00E61B31" w:rsidRDefault="007A6D3A">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Namibia Statistics Agency, 2012b: Namibia National Accounts. [online] Available at </w:t>
      </w:r>
      <w:hyperlink r:id="rId4" w:history="1">
        <w:r w:rsidRPr="00E61B31">
          <w:rPr>
            <w:rStyle w:val="Hyperlink"/>
            <w:rFonts w:ascii="Times New Roman" w:hAnsi="Times New Roman"/>
            <w:w w:val="80"/>
            <w:sz w:val="12"/>
            <w:szCs w:val="12"/>
            <w:lang w:val="en-ZA"/>
          </w:rPr>
          <w:t>http://www.nsa.org.na/dataset/</w:t>
        </w:r>
      </w:hyperlink>
      <w:r w:rsidRPr="00E61B31">
        <w:rPr>
          <w:rFonts w:ascii="Times New Roman" w:hAnsi="Times New Roman"/>
          <w:w w:val="80"/>
          <w:sz w:val="12"/>
          <w:szCs w:val="12"/>
          <w:lang w:val="en-ZA"/>
        </w:rPr>
        <w:t>. [Accessed 30 April 2013]</w:t>
      </w:r>
    </w:p>
  </w:footnote>
  <w:footnote w:id="7">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 xml:space="preserve">Namibia Statistics Agency, 2013; </w:t>
      </w:r>
      <w:r w:rsidRPr="00E61B31">
        <w:rPr>
          <w:rFonts w:ascii="Times New Roman" w:hAnsi="Times New Roman"/>
          <w:i/>
          <w:sz w:val="12"/>
          <w:szCs w:val="12"/>
          <w:lang w:val="en-ZA"/>
        </w:rPr>
        <w:t>Op cit</w:t>
      </w:r>
      <w:r w:rsidR="00E61B31" w:rsidRPr="00E61B31">
        <w:rPr>
          <w:rFonts w:ascii="Times New Roman" w:hAnsi="Times New Roman"/>
          <w:i/>
          <w:sz w:val="12"/>
          <w:szCs w:val="12"/>
          <w:lang w:val="en-ZA"/>
        </w:rPr>
        <w:t>.</w:t>
      </w:r>
      <w:proofErr w:type="gramEnd"/>
    </w:p>
  </w:footnote>
  <w:footnote w:id="8">
    <w:p w:rsidR="00345071" w:rsidRPr="00E61B31" w:rsidRDefault="00345071">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2012c: National Household Income and Expenditure Survey 2009/2010. [online] Available at </w:t>
      </w:r>
      <w:hyperlink r:id="rId5" w:history="1">
        <w:r w:rsidRPr="00E61B31">
          <w:rPr>
            <w:rStyle w:val="Hyperlink"/>
            <w:rFonts w:ascii="Times New Roman" w:hAnsi="Times New Roman"/>
            <w:w w:val="80"/>
            <w:sz w:val="12"/>
            <w:szCs w:val="12"/>
          </w:rPr>
          <w:t>www.nsa.org.na/files/downloads/NHIES%20Main%20Report.pdf</w:t>
        </w:r>
      </w:hyperlink>
      <w:r w:rsidRPr="00E61B31">
        <w:rPr>
          <w:rFonts w:ascii="Times New Roman" w:hAnsi="Times New Roman"/>
          <w:w w:val="80"/>
          <w:sz w:val="12"/>
          <w:szCs w:val="12"/>
        </w:rPr>
        <w:t>. [Accessed 30 April 2013]</w:t>
      </w:r>
    </w:p>
  </w:footnote>
  <w:footnote w:id="9">
    <w:p w:rsidR="00A25DEE" w:rsidRPr="00E61B31" w:rsidRDefault="00A25DEE">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MGECW (2009): Knowledge, Attitudes and Practices Study on Factors and Traditional Practices that may Perpetuate or Protect Namibians from Gender-Based Violence and Discrimination</w:t>
      </w:r>
    </w:p>
  </w:footnote>
  <w:footnote w:id="10">
    <w:p w:rsidR="00E61B31" w:rsidRPr="00E61B31" w:rsidRDefault="00E61B31">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National Health Accounts and National AIDS Spending Assessment Report – 2008-09</w:t>
      </w:r>
      <w:r w:rsidR="00834F52">
        <w:rPr>
          <w:rFonts w:ascii="Times New Roman" w:hAnsi="Times New Roman"/>
          <w:sz w:val="12"/>
          <w:szCs w:val="12"/>
          <w:lang w:val="en-ZA"/>
        </w:rPr>
        <w:t>.</w:t>
      </w:r>
      <w:proofErr w:type="gramEnd"/>
    </w:p>
  </w:footnote>
  <w:footnote w:id="11">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Ministry of Health and Social Services, 2012.</w:t>
      </w:r>
      <w:proofErr w:type="gramEnd"/>
      <w:r w:rsidRPr="00E61B31">
        <w:rPr>
          <w:rFonts w:ascii="Times New Roman" w:hAnsi="Times New Roman"/>
          <w:sz w:val="12"/>
          <w:szCs w:val="12"/>
          <w:lang w:val="en-ZA"/>
        </w:rPr>
        <w:t xml:space="preserve"> Report o</w:t>
      </w:r>
      <w:r w:rsidR="007200B4">
        <w:rPr>
          <w:rFonts w:ascii="Times New Roman" w:hAnsi="Times New Roman"/>
          <w:sz w:val="12"/>
          <w:szCs w:val="12"/>
          <w:lang w:val="en-ZA"/>
        </w:rPr>
        <w:t>f</w:t>
      </w:r>
      <w:r w:rsidRPr="00E61B31">
        <w:rPr>
          <w:rFonts w:ascii="Times New Roman" w:hAnsi="Times New Roman"/>
          <w:sz w:val="12"/>
          <w:szCs w:val="12"/>
          <w:lang w:val="en-ZA"/>
        </w:rPr>
        <w:t xml:space="preserve"> the 2012 National HIV Sentinal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1" o:spid="_x0000_s4098" type="#_x0000_t202" style="position:absolute;margin-left:-5.75pt;margin-top:-23.85pt;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" o:allowincell="f" stroked="f">
          <v:textbox inset="0,0,0,0">
            <w:txbxContent>
              <w:tbl>
                <w:tblPr>
                  <w:tblW w:w="0" w:type="auto"/>
                  <w:tblBorders>
                    <w:bottom w:val="single" w:sz="4" w:space="0" w:color="auto"/>
                  </w:tblBorders>
                  <w:tblLayout w:type="fixed"/>
                  <w:tblCellMar>
                    <w:left w:w="0" w:type="dxa"/>
                    <w:right w:w="0" w:type="dxa"/>
                  </w:tblCellMar>
                  <w:tblLook w:val="0000"/>
                </w:tblPr>
                <w:tblGrid>
                  <w:gridCol w:w="4838"/>
                  <w:gridCol w:w="5047"/>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5047"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450"/>
      </w:trPr>
      <w:tc>
        <w:tcPr>
          <w:tcW w:w="4838" w:type="dxa"/>
          <w:tcBorders>
            <w:bottom w:val="single" w:sz="4" w:space="0" w:color="auto"/>
          </w:tcBorders>
          <w:vAlign w:val="bottom"/>
        </w:tcPr>
        <w:p w:rsidR="0059546F" w:rsidRPr="005841A3" w:rsidRDefault="0059546F" w:rsidP="00EC049F">
          <w:pPr>
            <w:pStyle w:val="Header"/>
            <w:spacing w:after="80"/>
            <w:rPr>
              <w:rFonts w:ascii="Times New Roman" w:hAnsi="Times New Roman"/>
              <w:b/>
              <w:sz w:val="17"/>
              <w:szCs w:val="17"/>
            </w:rPr>
          </w:pPr>
        </w:p>
      </w:tc>
      <w:tc>
        <w:tcPr>
          <w:tcW w:w="8276" w:type="dxa"/>
          <w:tcBorders>
            <w:bottom w:val="single" w:sz="4" w:space="0" w:color="auto"/>
          </w:tcBorders>
          <w:vAlign w:val="bottom"/>
        </w:tcPr>
        <w:p w:rsidR="0059546F" w:rsidRPr="005841A3" w:rsidRDefault="0059546F" w:rsidP="005841A3">
          <w:pPr>
            <w:pStyle w:val="Header"/>
            <w:jc w:val="right"/>
            <w:rPr>
              <w:rFonts w:ascii="Times New Roman" w:hAnsi="Times New Roman"/>
              <w:sz w:val="17"/>
              <w:szCs w:val="17"/>
            </w:rPr>
          </w:pPr>
          <w:r w:rsidRPr="005841A3">
            <w:rPr>
              <w:rFonts w:ascii="Times New Roman" w:hAnsi="Times New Roman"/>
              <w:b/>
              <w:sz w:val="17"/>
              <w:szCs w:val="17"/>
            </w:rPr>
            <w:t>DP/DCP/</w:t>
          </w:r>
        </w:p>
      </w:tc>
    </w:tr>
  </w:tbl>
  <w:p w:rsidR="0059546F" w:rsidRDefault="00595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521"/>
    </w:tblGrid>
    <w:tr w:rsidR="0059546F">
      <w:trPr>
        <w:trHeight w:hRule="exact" w:val="864"/>
      </w:trPr>
      <w:tc>
        <w:tcPr>
          <w:tcW w:w="1267" w:type="dxa"/>
          <w:tcBorders>
            <w:top w:val="nil"/>
            <w:left w:val="nil"/>
            <w:bottom w:val="nil"/>
            <w:right w:val="nil"/>
          </w:tcBorders>
          <w:vAlign w:val="bottom"/>
        </w:tcPr>
        <w:p w:rsidR="0059546F" w:rsidRDefault="0059546F">
          <w:pPr>
            <w:pStyle w:val="Header"/>
            <w:spacing w:after="120"/>
          </w:pPr>
        </w:p>
      </w:tc>
      <w:tc>
        <w:tcPr>
          <w:tcW w:w="1872" w:type="dxa"/>
          <w:tcBorders>
            <w:top w:val="nil"/>
            <w:left w:val="nil"/>
            <w:bottom w:val="nil"/>
            <w:right w:val="nil"/>
          </w:tcBorders>
          <w:vAlign w:val="bottom"/>
        </w:tcPr>
        <w:p w:rsidR="0059546F" w:rsidRDefault="0059546F">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59546F" w:rsidRDefault="0059546F">
          <w:pPr>
            <w:pStyle w:val="Header"/>
            <w:spacing w:after="120"/>
          </w:pPr>
        </w:p>
      </w:tc>
      <w:tc>
        <w:tcPr>
          <w:tcW w:w="6876" w:type="dxa"/>
          <w:gridSpan w:val="3"/>
          <w:tcBorders>
            <w:top w:val="nil"/>
            <w:left w:val="nil"/>
            <w:bottom w:val="nil"/>
            <w:right w:val="nil"/>
          </w:tcBorders>
          <w:vAlign w:val="bottom"/>
        </w:tcPr>
        <w:p w:rsidR="0059546F" w:rsidRDefault="0059546F" w:rsidP="00441061">
          <w:pPr>
            <w:spacing w:after="80"/>
            <w:jc w:val="center"/>
            <w:rPr>
              <w:position w:val="-4"/>
            </w:rPr>
          </w:pPr>
          <w:r>
            <w:rPr>
              <w:position w:val="-4"/>
              <w:sz w:val="40"/>
            </w:rPr>
            <w:t xml:space="preserve">                                                  DP</w:t>
          </w:r>
          <w:r>
            <w:rPr>
              <w:position w:val="-4"/>
            </w:rPr>
            <w:t>/DCP/</w:t>
          </w:r>
        </w:p>
      </w:tc>
    </w:tr>
    <w:tr w:rsidR="0059546F">
      <w:trPr>
        <w:trHeight w:hRule="exact" w:val="2880"/>
      </w:trPr>
      <w:tc>
        <w:tcPr>
          <w:tcW w:w="1267" w:type="dxa"/>
          <w:tcBorders>
            <w:top w:val="single" w:sz="4" w:space="0" w:color="auto"/>
            <w:left w:val="nil"/>
            <w:bottom w:val="single" w:sz="12" w:space="0" w:color="auto"/>
            <w:right w:val="nil"/>
          </w:tcBorders>
        </w:tcPr>
        <w:p w:rsidR="0059546F" w:rsidRDefault="0059546F">
          <w:pPr>
            <w:pStyle w:val="Header"/>
            <w:spacing w:before="109"/>
          </w:pPr>
          <w:r>
            <w:t xml:space="preserve"> </w:t>
          </w:r>
          <w:r w:rsidR="007C1CBB">
            <w:rPr>
              <w:noProof/>
            </w:rPr>
            <w:drawing>
              <wp:inline distT="0" distB="0" distL="0" distR="0">
                <wp:extent cx="714375" cy="590550"/>
                <wp:effectExtent l="1905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p w:rsidR="0059546F" w:rsidRDefault="0059546F">
          <w:pPr>
            <w:pStyle w:val="Header"/>
            <w:spacing w:before="109"/>
          </w:pPr>
        </w:p>
      </w:tc>
      <w:tc>
        <w:tcPr>
          <w:tcW w:w="5227" w:type="dxa"/>
          <w:gridSpan w:val="3"/>
          <w:tcBorders>
            <w:top w:val="single" w:sz="4" w:space="0" w:color="auto"/>
            <w:left w:val="nil"/>
            <w:bottom w:val="single" w:sz="12" w:space="0" w:color="auto"/>
            <w:right w:val="nil"/>
          </w:tcBorders>
        </w:tcPr>
        <w:p w:rsidR="0059546F" w:rsidRDefault="0059546F">
          <w:pPr>
            <w:pStyle w:val="XLarge"/>
            <w:spacing w:before="109" w:line="330" w:lineRule="exact"/>
            <w:rPr>
              <w:sz w:val="34"/>
            </w:rPr>
          </w:pPr>
          <w:r>
            <w:rPr>
              <w:sz w:val="34"/>
            </w:rPr>
            <w:t>Executive Board of the</w:t>
          </w:r>
          <w:r>
            <w:rPr>
              <w:sz w:val="34"/>
            </w:rPr>
            <w:br/>
            <w:t>United Nations Development</w:t>
          </w:r>
          <w:r>
            <w:rPr>
              <w:sz w:val="34"/>
            </w:rPr>
            <w:br/>
            <w:t>Programme and of the</w:t>
          </w:r>
          <w:r>
            <w:rPr>
              <w:sz w:val="34"/>
            </w:rPr>
            <w:br/>
            <w:t>United Nations Population Fund</w:t>
          </w:r>
        </w:p>
      </w:tc>
      <w:tc>
        <w:tcPr>
          <w:tcW w:w="245" w:type="dxa"/>
          <w:tcBorders>
            <w:top w:val="single" w:sz="4" w:space="0" w:color="auto"/>
            <w:left w:val="nil"/>
            <w:bottom w:val="single" w:sz="12" w:space="0" w:color="auto"/>
            <w:right w:val="nil"/>
          </w:tcBorders>
        </w:tcPr>
        <w:p w:rsidR="0059546F" w:rsidRDefault="0059546F">
          <w:pPr>
            <w:pStyle w:val="Header"/>
            <w:spacing w:before="109"/>
          </w:pPr>
        </w:p>
      </w:tc>
      <w:tc>
        <w:tcPr>
          <w:tcW w:w="3521" w:type="dxa"/>
          <w:tcBorders>
            <w:top w:val="single" w:sz="4" w:space="0" w:color="auto"/>
            <w:left w:val="nil"/>
            <w:bottom w:val="single" w:sz="12" w:space="0" w:color="auto"/>
            <w:right w:val="nil"/>
          </w:tcBorders>
        </w:tcPr>
        <w:p w:rsidR="0059546F" w:rsidRDefault="0059546F">
          <w:pPr>
            <w:spacing w:before="240"/>
          </w:pPr>
          <w:r>
            <w:t>Distr.: General</w:t>
          </w:r>
        </w:p>
        <w:p w:rsidR="0059546F" w:rsidRDefault="0059546F" w:rsidP="00441061">
          <w:r>
            <w:t>(Date)</w:t>
          </w:r>
        </w:p>
        <w:p w:rsidR="0059546F" w:rsidRDefault="0059546F"/>
        <w:p w:rsidR="0059546F" w:rsidRDefault="0059546F">
          <w:r>
            <w:t>Original: Language</w:t>
          </w:r>
        </w:p>
      </w:tc>
    </w:tr>
  </w:tbl>
  <w:p w:rsidR="0059546F" w:rsidRDefault="0059546F">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V7dAIAAPo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" o:allowincell="f" stroked="f">
          <v:textbox inset="0,0,0,0">
            <w:txbxContent>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1B7"/>
    <w:multiLevelType w:val="hybridMultilevel"/>
    <w:tmpl w:val="AA38A068"/>
    <w:lvl w:ilvl="0" w:tplc="4FF49A9C">
      <w:start w:val="1"/>
      <w:numFmt w:val="bullet"/>
      <w:lvlText w:val="•"/>
      <w:lvlJc w:val="left"/>
      <w:pPr>
        <w:tabs>
          <w:tab w:val="num" w:pos="720"/>
        </w:tabs>
        <w:ind w:left="720" w:hanging="360"/>
      </w:pPr>
      <w:rPr>
        <w:rFonts w:ascii="Times New Roman" w:hAnsi="Times New Roman" w:hint="default"/>
      </w:rPr>
    </w:lvl>
    <w:lvl w:ilvl="1" w:tplc="C0588DAA">
      <w:start w:val="1"/>
      <w:numFmt w:val="bullet"/>
      <w:lvlText w:val="•"/>
      <w:lvlJc w:val="left"/>
      <w:pPr>
        <w:tabs>
          <w:tab w:val="num" w:pos="1440"/>
        </w:tabs>
        <w:ind w:left="1440" w:hanging="360"/>
      </w:pPr>
      <w:rPr>
        <w:rFonts w:ascii="Times New Roman" w:hAnsi="Times New Roman" w:hint="default"/>
      </w:rPr>
    </w:lvl>
    <w:lvl w:ilvl="2" w:tplc="414A30FE">
      <w:start w:val="1"/>
      <w:numFmt w:val="bullet"/>
      <w:lvlText w:val="•"/>
      <w:lvlJc w:val="left"/>
      <w:pPr>
        <w:tabs>
          <w:tab w:val="num" w:pos="2160"/>
        </w:tabs>
        <w:ind w:left="2160" w:hanging="360"/>
      </w:pPr>
      <w:rPr>
        <w:rFonts w:ascii="Times New Roman" w:hAnsi="Times New Roman" w:hint="default"/>
      </w:rPr>
    </w:lvl>
    <w:lvl w:ilvl="3" w:tplc="0AB8AF86">
      <w:start w:val="1"/>
      <w:numFmt w:val="bullet"/>
      <w:lvlText w:val="•"/>
      <w:lvlJc w:val="left"/>
      <w:pPr>
        <w:tabs>
          <w:tab w:val="num" w:pos="2880"/>
        </w:tabs>
        <w:ind w:left="2880" w:hanging="360"/>
      </w:pPr>
      <w:rPr>
        <w:rFonts w:ascii="Times New Roman" w:hAnsi="Times New Roman" w:hint="default"/>
      </w:rPr>
    </w:lvl>
    <w:lvl w:ilvl="4" w:tplc="588087F8">
      <w:start w:val="1"/>
      <w:numFmt w:val="bullet"/>
      <w:lvlText w:val="•"/>
      <w:lvlJc w:val="left"/>
      <w:pPr>
        <w:tabs>
          <w:tab w:val="num" w:pos="3600"/>
        </w:tabs>
        <w:ind w:left="3600" w:hanging="360"/>
      </w:pPr>
      <w:rPr>
        <w:rFonts w:ascii="Times New Roman" w:hAnsi="Times New Roman" w:hint="default"/>
      </w:rPr>
    </w:lvl>
    <w:lvl w:ilvl="5" w:tplc="AAB212CE">
      <w:start w:val="1"/>
      <w:numFmt w:val="bullet"/>
      <w:lvlText w:val="•"/>
      <w:lvlJc w:val="left"/>
      <w:pPr>
        <w:tabs>
          <w:tab w:val="num" w:pos="4320"/>
        </w:tabs>
        <w:ind w:left="4320" w:hanging="360"/>
      </w:pPr>
      <w:rPr>
        <w:rFonts w:ascii="Times New Roman" w:hAnsi="Times New Roman" w:hint="default"/>
      </w:rPr>
    </w:lvl>
    <w:lvl w:ilvl="6" w:tplc="A8565B72">
      <w:start w:val="1"/>
      <w:numFmt w:val="bullet"/>
      <w:lvlText w:val="•"/>
      <w:lvlJc w:val="left"/>
      <w:pPr>
        <w:tabs>
          <w:tab w:val="num" w:pos="5040"/>
        </w:tabs>
        <w:ind w:left="5040" w:hanging="360"/>
      </w:pPr>
      <w:rPr>
        <w:rFonts w:ascii="Times New Roman" w:hAnsi="Times New Roman" w:hint="default"/>
      </w:rPr>
    </w:lvl>
    <w:lvl w:ilvl="7" w:tplc="855A5DB4">
      <w:start w:val="1"/>
      <w:numFmt w:val="bullet"/>
      <w:lvlText w:val="•"/>
      <w:lvlJc w:val="left"/>
      <w:pPr>
        <w:tabs>
          <w:tab w:val="num" w:pos="5760"/>
        </w:tabs>
        <w:ind w:left="5760" w:hanging="360"/>
      </w:pPr>
      <w:rPr>
        <w:rFonts w:ascii="Times New Roman" w:hAnsi="Times New Roman" w:hint="default"/>
      </w:rPr>
    </w:lvl>
    <w:lvl w:ilvl="8" w:tplc="5EC0730A">
      <w:start w:val="1"/>
      <w:numFmt w:val="bullet"/>
      <w:lvlText w:val="•"/>
      <w:lvlJc w:val="left"/>
      <w:pPr>
        <w:tabs>
          <w:tab w:val="num" w:pos="6480"/>
        </w:tabs>
        <w:ind w:left="6480" w:hanging="360"/>
      </w:pPr>
      <w:rPr>
        <w:rFonts w:ascii="Times New Roman" w:hAnsi="Times New Roman" w:hint="default"/>
      </w:rPr>
    </w:lvl>
  </w:abstractNum>
  <w:abstractNum w:abstractNumId="1">
    <w:nsid w:val="107C0DDF"/>
    <w:multiLevelType w:val="hybridMultilevel"/>
    <w:tmpl w:val="998E69DA"/>
    <w:lvl w:ilvl="0" w:tplc="6A98D998">
      <w:start w:val="1"/>
      <w:numFmt w:val="bullet"/>
      <w:lvlText w:val="•"/>
      <w:lvlJc w:val="left"/>
      <w:pPr>
        <w:tabs>
          <w:tab w:val="num" w:pos="720"/>
        </w:tabs>
        <w:ind w:left="720" w:hanging="360"/>
      </w:pPr>
      <w:rPr>
        <w:rFonts w:ascii="Times New Roman" w:hAnsi="Times New Roman" w:hint="default"/>
      </w:rPr>
    </w:lvl>
    <w:lvl w:ilvl="1" w:tplc="4F4EBA10">
      <w:start w:val="1"/>
      <w:numFmt w:val="bullet"/>
      <w:lvlText w:val="•"/>
      <w:lvlJc w:val="left"/>
      <w:pPr>
        <w:tabs>
          <w:tab w:val="num" w:pos="1440"/>
        </w:tabs>
        <w:ind w:left="1440" w:hanging="360"/>
      </w:pPr>
      <w:rPr>
        <w:rFonts w:ascii="Times New Roman" w:hAnsi="Times New Roman" w:hint="default"/>
      </w:rPr>
    </w:lvl>
    <w:lvl w:ilvl="2" w:tplc="A364C688">
      <w:start w:val="1"/>
      <w:numFmt w:val="bullet"/>
      <w:lvlText w:val="•"/>
      <w:lvlJc w:val="left"/>
      <w:pPr>
        <w:tabs>
          <w:tab w:val="num" w:pos="2160"/>
        </w:tabs>
        <w:ind w:left="2160" w:hanging="360"/>
      </w:pPr>
      <w:rPr>
        <w:rFonts w:ascii="Times New Roman" w:hAnsi="Times New Roman" w:hint="default"/>
      </w:rPr>
    </w:lvl>
    <w:lvl w:ilvl="3" w:tplc="ED36CDCE">
      <w:start w:val="1"/>
      <w:numFmt w:val="bullet"/>
      <w:lvlText w:val="•"/>
      <w:lvlJc w:val="left"/>
      <w:pPr>
        <w:tabs>
          <w:tab w:val="num" w:pos="2880"/>
        </w:tabs>
        <w:ind w:left="2880" w:hanging="360"/>
      </w:pPr>
      <w:rPr>
        <w:rFonts w:ascii="Times New Roman" w:hAnsi="Times New Roman" w:hint="default"/>
      </w:rPr>
    </w:lvl>
    <w:lvl w:ilvl="4" w:tplc="CBD8B092">
      <w:start w:val="1"/>
      <w:numFmt w:val="bullet"/>
      <w:lvlText w:val="•"/>
      <w:lvlJc w:val="left"/>
      <w:pPr>
        <w:tabs>
          <w:tab w:val="num" w:pos="3600"/>
        </w:tabs>
        <w:ind w:left="3600" w:hanging="360"/>
      </w:pPr>
      <w:rPr>
        <w:rFonts w:ascii="Times New Roman" w:hAnsi="Times New Roman" w:hint="default"/>
      </w:rPr>
    </w:lvl>
    <w:lvl w:ilvl="5" w:tplc="3F701944">
      <w:start w:val="1"/>
      <w:numFmt w:val="bullet"/>
      <w:lvlText w:val="•"/>
      <w:lvlJc w:val="left"/>
      <w:pPr>
        <w:tabs>
          <w:tab w:val="num" w:pos="4320"/>
        </w:tabs>
        <w:ind w:left="4320" w:hanging="360"/>
      </w:pPr>
      <w:rPr>
        <w:rFonts w:ascii="Times New Roman" w:hAnsi="Times New Roman" w:hint="default"/>
      </w:rPr>
    </w:lvl>
    <w:lvl w:ilvl="6" w:tplc="A944FF62">
      <w:start w:val="1"/>
      <w:numFmt w:val="bullet"/>
      <w:lvlText w:val="•"/>
      <w:lvlJc w:val="left"/>
      <w:pPr>
        <w:tabs>
          <w:tab w:val="num" w:pos="5040"/>
        </w:tabs>
        <w:ind w:left="5040" w:hanging="360"/>
      </w:pPr>
      <w:rPr>
        <w:rFonts w:ascii="Times New Roman" w:hAnsi="Times New Roman" w:hint="default"/>
      </w:rPr>
    </w:lvl>
    <w:lvl w:ilvl="7" w:tplc="F3022F80">
      <w:start w:val="1"/>
      <w:numFmt w:val="bullet"/>
      <w:lvlText w:val="•"/>
      <w:lvlJc w:val="left"/>
      <w:pPr>
        <w:tabs>
          <w:tab w:val="num" w:pos="5760"/>
        </w:tabs>
        <w:ind w:left="5760" w:hanging="360"/>
      </w:pPr>
      <w:rPr>
        <w:rFonts w:ascii="Times New Roman" w:hAnsi="Times New Roman" w:hint="default"/>
      </w:rPr>
    </w:lvl>
    <w:lvl w:ilvl="8" w:tplc="C110343C">
      <w:start w:val="1"/>
      <w:numFmt w:val="bullet"/>
      <w:lvlText w:val="•"/>
      <w:lvlJc w:val="left"/>
      <w:pPr>
        <w:tabs>
          <w:tab w:val="num" w:pos="6480"/>
        </w:tabs>
        <w:ind w:left="6480" w:hanging="360"/>
      </w:pPr>
      <w:rPr>
        <w:rFonts w:ascii="Times New Roman" w:hAnsi="Times New Roman" w:hint="default"/>
      </w:rPr>
    </w:lvl>
  </w:abstractNum>
  <w:abstractNum w:abstractNumId="2">
    <w:nsid w:val="10955567"/>
    <w:multiLevelType w:val="hybridMultilevel"/>
    <w:tmpl w:val="A09E5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5422B"/>
    <w:multiLevelType w:val="hybridMultilevel"/>
    <w:tmpl w:val="7E02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48305E"/>
    <w:multiLevelType w:val="hybridMultilevel"/>
    <w:tmpl w:val="F808D332"/>
    <w:lvl w:ilvl="0" w:tplc="9626DB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A18DC"/>
    <w:multiLevelType w:val="multilevel"/>
    <w:tmpl w:val="C50266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360" w:hanging="36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6">
    <w:nsid w:val="5A541D5D"/>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7">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69D0258E"/>
    <w:multiLevelType w:val="hybridMultilevel"/>
    <w:tmpl w:val="F3A806A8"/>
    <w:lvl w:ilvl="0" w:tplc="98D24492">
      <w:start w:val="1"/>
      <w:numFmt w:val="bullet"/>
      <w:lvlText w:val="•"/>
      <w:lvlJc w:val="left"/>
      <w:pPr>
        <w:tabs>
          <w:tab w:val="num" w:pos="720"/>
        </w:tabs>
        <w:ind w:left="720" w:hanging="360"/>
      </w:pPr>
      <w:rPr>
        <w:rFonts w:ascii="Times New Roman" w:hAnsi="Times New Roman" w:hint="default"/>
      </w:rPr>
    </w:lvl>
    <w:lvl w:ilvl="1" w:tplc="E7203F2A">
      <w:start w:val="1"/>
      <w:numFmt w:val="bullet"/>
      <w:lvlText w:val="•"/>
      <w:lvlJc w:val="left"/>
      <w:pPr>
        <w:tabs>
          <w:tab w:val="num" w:pos="1440"/>
        </w:tabs>
        <w:ind w:left="1440" w:hanging="360"/>
      </w:pPr>
      <w:rPr>
        <w:rFonts w:ascii="Times New Roman" w:hAnsi="Times New Roman" w:hint="default"/>
      </w:rPr>
    </w:lvl>
    <w:lvl w:ilvl="2" w:tplc="A6F46DEC">
      <w:start w:val="1"/>
      <w:numFmt w:val="bullet"/>
      <w:lvlText w:val="•"/>
      <w:lvlJc w:val="left"/>
      <w:pPr>
        <w:tabs>
          <w:tab w:val="num" w:pos="2160"/>
        </w:tabs>
        <w:ind w:left="2160" w:hanging="360"/>
      </w:pPr>
      <w:rPr>
        <w:rFonts w:ascii="Times New Roman" w:hAnsi="Times New Roman" w:hint="default"/>
      </w:rPr>
    </w:lvl>
    <w:lvl w:ilvl="3" w:tplc="51185D3E">
      <w:start w:val="1"/>
      <w:numFmt w:val="bullet"/>
      <w:lvlText w:val="•"/>
      <w:lvlJc w:val="left"/>
      <w:pPr>
        <w:tabs>
          <w:tab w:val="num" w:pos="2880"/>
        </w:tabs>
        <w:ind w:left="2880" w:hanging="360"/>
      </w:pPr>
      <w:rPr>
        <w:rFonts w:ascii="Times New Roman" w:hAnsi="Times New Roman" w:hint="default"/>
      </w:rPr>
    </w:lvl>
    <w:lvl w:ilvl="4" w:tplc="71449D16">
      <w:start w:val="1"/>
      <w:numFmt w:val="bullet"/>
      <w:lvlText w:val="•"/>
      <w:lvlJc w:val="left"/>
      <w:pPr>
        <w:tabs>
          <w:tab w:val="num" w:pos="3600"/>
        </w:tabs>
        <w:ind w:left="3600" w:hanging="360"/>
      </w:pPr>
      <w:rPr>
        <w:rFonts w:ascii="Times New Roman" w:hAnsi="Times New Roman" w:hint="default"/>
      </w:rPr>
    </w:lvl>
    <w:lvl w:ilvl="5" w:tplc="C3648144">
      <w:start w:val="1"/>
      <w:numFmt w:val="bullet"/>
      <w:lvlText w:val="•"/>
      <w:lvlJc w:val="left"/>
      <w:pPr>
        <w:tabs>
          <w:tab w:val="num" w:pos="4320"/>
        </w:tabs>
        <w:ind w:left="4320" w:hanging="360"/>
      </w:pPr>
      <w:rPr>
        <w:rFonts w:ascii="Times New Roman" w:hAnsi="Times New Roman" w:hint="default"/>
      </w:rPr>
    </w:lvl>
    <w:lvl w:ilvl="6" w:tplc="88720BDC">
      <w:start w:val="1"/>
      <w:numFmt w:val="bullet"/>
      <w:lvlText w:val="•"/>
      <w:lvlJc w:val="left"/>
      <w:pPr>
        <w:tabs>
          <w:tab w:val="num" w:pos="5040"/>
        </w:tabs>
        <w:ind w:left="5040" w:hanging="360"/>
      </w:pPr>
      <w:rPr>
        <w:rFonts w:ascii="Times New Roman" w:hAnsi="Times New Roman" w:hint="default"/>
      </w:rPr>
    </w:lvl>
    <w:lvl w:ilvl="7" w:tplc="428E9A16">
      <w:start w:val="1"/>
      <w:numFmt w:val="bullet"/>
      <w:lvlText w:val="•"/>
      <w:lvlJc w:val="left"/>
      <w:pPr>
        <w:tabs>
          <w:tab w:val="num" w:pos="5760"/>
        </w:tabs>
        <w:ind w:left="5760" w:hanging="360"/>
      </w:pPr>
      <w:rPr>
        <w:rFonts w:ascii="Times New Roman" w:hAnsi="Times New Roman" w:hint="default"/>
      </w:rPr>
    </w:lvl>
    <w:lvl w:ilvl="8" w:tplc="C07E21AA">
      <w:start w:val="1"/>
      <w:numFmt w:val="bullet"/>
      <w:lvlText w:val="•"/>
      <w:lvlJc w:val="left"/>
      <w:pPr>
        <w:tabs>
          <w:tab w:val="num" w:pos="6480"/>
        </w:tabs>
        <w:ind w:left="6480" w:hanging="360"/>
      </w:pPr>
      <w:rPr>
        <w:rFonts w:ascii="Times New Roman" w:hAnsi="Times New Roman" w:hint="default"/>
      </w:rPr>
    </w:lvl>
  </w:abstractNum>
  <w:abstractNum w:abstractNumId="9">
    <w:nsid w:val="754B0324"/>
    <w:multiLevelType w:val="hybridMultilevel"/>
    <w:tmpl w:val="3BD0F2E6"/>
    <w:lvl w:ilvl="0" w:tplc="441AFD5E">
      <w:start w:val="20"/>
      <w:numFmt w:val="bullet"/>
      <w:lvlText w:val="-"/>
      <w:lvlJc w:val="left"/>
      <w:pPr>
        <w:ind w:left="360" w:hanging="360"/>
      </w:pPr>
      <w:rPr>
        <w:rFonts w:ascii="Times New Roman" w:hAnsi="Times New Roman" w:hint="default"/>
        <w:b/>
        <w:i w:val="0"/>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0"/>
  </w:num>
  <w:num w:numId="6">
    <w:abstractNumId w:val="8"/>
  </w:num>
  <w:num w:numId="7">
    <w:abstractNumId w:val="1"/>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101"/>
    <o:shapelayout v:ext="edit">
      <o:idmap v:ext="edit" data="4"/>
    </o:shapelayout>
  </w:hdrShapeDefaults>
  <w:footnotePr>
    <w:numRestart w:val="eachSect"/>
    <w:footnote w:id="-1"/>
    <w:footnote w:id="0"/>
  </w:footnotePr>
  <w:endnotePr>
    <w:numFmt w:val="decimal"/>
    <w:numStart w:val="7"/>
    <w:endnote w:id="-1"/>
    <w:endnote w:id="0"/>
  </w:endnotePr>
  <w:compat/>
  <w:rsids>
    <w:rsidRoot w:val="00D9153B"/>
    <w:rsid w:val="00001B90"/>
    <w:rsid w:val="000027D2"/>
    <w:rsid w:val="00004251"/>
    <w:rsid w:val="000052C0"/>
    <w:rsid w:val="00005E26"/>
    <w:rsid w:val="00011CF1"/>
    <w:rsid w:val="00012F5B"/>
    <w:rsid w:val="00013336"/>
    <w:rsid w:val="00015FDE"/>
    <w:rsid w:val="00016217"/>
    <w:rsid w:val="00016861"/>
    <w:rsid w:val="000178BF"/>
    <w:rsid w:val="00023F18"/>
    <w:rsid w:val="000276A0"/>
    <w:rsid w:val="000318F7"/>
    <w:rsid w:val="000330DB"/>
    <w:rsid w:val="00033DCE"/>
    <w:rsid w:val="00036095"/>
    <w:rsid w:val="00040AC9"/>
    <w:rsid w:val="00050255"/>
    <w:rsid w:val="000518F0"/>
    <w:rsid w:val="00053677"/>
    <w:rsid w:val="0005705A"/>
    <w:rsid w:val="000633EA"/>
    <w:rsid w:val="00070FF4"/>
    <w:rsid w:val="00073263"/>
    <w:rsid w:val="00074BD0"/>
    <w:rsid w:val="000753C4"/>
    <w:rsid w:val="00081005"/>
    <w:rsid w:val="0008339E"/>
    <w:rsid w:val="00090AD1"/>
    <w:rsid w:val="00092927"/>
    <w:rsid w:val="000A151D"/>
    <w:rsid w:val="000A191A"/>
    <w:rsid w:val="000A2FD2"/>
    <w:rsid w:val="000A5EDE"/>
    <w:rsid w:val="000A795D"/>
    <w:rsid w:val="000B13D2"/>
    <w:rsid w:val="000B6F27"/>
    <w:rsid w:val="000C07FC"/>
    <w:rsid w:val="000C1204"/>
    <w:rsid w:val="000C5517"/>
    <w:rsid w:val="000C76B0"/>
    <w:rsid w:val="000D1FCE"/>
    <w:rsid w:val="000D225C"/>
    <w:rsid w:val="000D2475"/>
    <w:rsid w:val="000E5CD0"/>
    <w:rsid w:val="000E745A"/>
    <w:rsid w:val="000F0044"/>
    <w:rsid w:val="000F1319"/>
    <w:rsid w:val="000F3211"/>
    <w:rsid w:val="000F79EC"/>
    <w:rsid w:val="0010459D"/>
    <w:rsid w:val="00111A12"/>
    <w:rsid w:val="00111AAF"/>
    <w:rsid w:val="001208A9"/>
    <w:rsid w:val="0012229E"/>
    <w:rsid w:val="00123849"/>
    <w:rsid w:val="00134DEE"/>
    <w:rsid w:val="0013761A"/>
    <w:rsid w:val="00141308"/>
    <w:rsid w:val="00142D2A"/>
    <w:rsid w:val="001506F6"/>
    <w:rsid w:val="001547D3"/>
    <w:rsid w:val="001559BD"/>
    <w:rsid w:val="00156B69"/>
    <w:rsid w:val="00157F79"/>
    <w:rsid w:val="0016143A"/>
    <w:rsid w:val="00177E7E"/>
    <w:rsid w:val="001915F5"/>
    <w:rsid w:val="001947C9"/>
    <w:rsid w:val="001970A4"/>
    <w:rsid w:val="001A2294"/>
    <w:rsid w:val="001A395A"/>
    <w:rsid w:val="001B4026"/>
    <w:rsid w:val="001B76A6"/>
    <w:rsid w:val="001C0F31"/>
    <w:rsid w:val="001D1313"/>
    <w:rsid w:val="001E12F4"/>
    <w:rsid w:val="001E2281"/>
    <w:rsid w:val="001E4F4F"/>
    <w:rsid w:val="001E680F"/>
    <w:rsid w:val="001F2A8A"/>
    <w:rsid w:val="001F7857"/>
    <w:rsid w:val="00200195"/>
    <w:rsid w:val="00203DA7"/>
    <w:rsid w:val="002047C8"/>
    <w:rsid w:val="002058F9"/>
    <w:rsid w:val="00211ECC"/>
    <w:rsid w:val="00212B1F"/>
    <w:rsid w:val="0021614F"/>
    <w:rsid w:val="0021766A"/>
    <w:rsid w:val="0022475F"/>
    <w:rsid w:val="00224B2C"/>
    <w:rsid w:val="00227665"/>
    <w:rsid w:val="00227B30"/>
    <w:rsid w:val="00232AA0"/>
    <w:rsid w:val="00233FE8"/>
    <w:rsid w:val="00234D95"/>
    <w:rsid w:val="00236B91"/>
    <w:rsid w:val="00245D74"/>
    <w:rsid w:val="00246DDF"/>
    <w:rsid w:val="0025355B"/>
    <w:rsid w:val="00260FAA"/>
    <w:rsid w:val="002619A1"/>
    <w:rsid w:val="002671DC"/>
    <w:rsid w:val="0027259C"/>
    <w:rsid w:val="00273543"/>
    <w:rsid w:val="00275A62"/>
    <w:rsid w:val="002810DF"/>
    <w:rsid w:val="002816D8"/>
    <w:rsid w:val="00283BC0"/>
    <w:rsid w:val="00290EB3"/>
    <w:rsid w:val="00292A90"/>
    <w:rsid w:val="00295971"/>
    <w:rsid w:val="00297701"/>
    <w:rsid w:val="00297AA1"/>
    <w:rsid w:val="002A042D"/>
    <w:rsid w:val="002A096A"/>
    <w:rsid w:val="002A2ADA"/>
    <w:rsid w:val="002A3641"/>
    <w:rsid w:val="002A7692"/>
    <w:rsid w:val="002A7F43"/>
    <w:rsid w:val="002B489A"/>
    <w:rsid w:val="002C3072"/>
    <w:rsid w:val="002C4807"/>
    <w:rsid w:val="002C51A0"/>
    <w:rsid w:val="002D2E2A"/>
    <w:rsid w:val="002D45A2"/>
    <w:rsid w:val="002D52BF"/>
    <w:rsid w:val="002E0B5D"/>
    <w:rsid w:val="002E3C0D"/>
    <w:rsid w:val="002E46EF"/>
    <w:rsid w:val="002E4ECD"/>
    <w:rsid w:val="002E6646"/>
    <w:rsid w:val="002E7CCA"/>
    <w:rsid w:val="002F076E"/>
    <w:rsid w:val="002F3C88"/>
    <w:rsid w:val="002F4858"/>
    <w:rsid w:val="002F7461"/>
    <w:rsid w:val="0030704F"/>
    <w:rsid w:val="003105C9"/>
    <w:rsid w:val="0031404A"/>
    <w:rsid w:val="003145BB"/>
    <w:rsid w:val="00314B7C"/>
    <w:rsid w:val="00315962"/>
    <w:rsid w:val="00323457"/>
    <w:rsid w:val="00324016"/>
    <w:rsid w:val="00324846"/>
    <w:rsid w:val="00324D9B"/>
    <w:rsid w:val="0033211A"/>
    <w:rsid w:val="0033432D"/>
    <w:rsid w:val="0033454D"/>
    <w:rsid w:val="00334C0E"/>
    <w:rsid w:val="003408C9"/>
    <w:rsid w:val="00343C45"/>
    <w:rsid w:val="00345071"/>
    <w:rsid w:val="003450C8"/>
    <w:rsid w:val="00354BDB"/>
    <w:rsid w:val="0035580F"/>
    <w:rsid w:val="003633CA"/>
    <w:rsid w:val="003664C0"/>
    <w:rsid w:val="00367F96"/>
    <w:rsid w:val="00371FF5"/>
    <w:rsid w:val="003741AD"/>
    <w:rsid w:val="00377E41"/>
    <w:rsid w:val="003805B6"/>
    <w:rsid w:val="003837EB"/>
    <w:rsid w:val="00386166"/>
    <w:rsid w:val="003B0AA1"/>
    <w:rsid w:val="003B1F77"/>
    <w:rsid w:val="003B5BA5"/>
    <w:rsid w:val="003C3F15"/>
    <w:rsid w:val="003C6AAD"/>
    <w:rsid w:val="003D2B3C"/>
    <w:rsid w:val="003D36B9"/>
    <w:rsid w:val="003D7E38"/>
    <w:rsid w:val="003D7EAC"/>
    <w:rsid w:val="003E101C"/>
    <w:rsid w:val="003E2813"/>
    <w:rsid w:val="003E39B0"/>
    <w:rsid w:val="003E52B0"/>
    <w:rsid w:val="003E7A43"/>
    <w:rsid w:val="003F0B58"/>
    <w:rsid w:val="003F2236"/>
    <w:rsid w:val="003F3244"/>
    <w:rsid w:val="003F5314"/>
    <w:rsid w:val="003F5812"/>
    <w:rsid w:val="00400E4A"/>
    <w:rsid w:val="00402E9A"/>
    <w:rsid w:val="004076A9"/>
    <w:rsid w:val="00412961"/>
    <w:rsid w:val="00413D4B"/>
    <w:rsid w:val="004154D6"/>
    <w:rsid w:val="00416B6C"/>
    <w:rsid w:val="00423AAC"/>
    <w:rsid w:val="00427C3B"/>
    <w:rsid w:val="00427EEA"/>
    <w:rsid w:val="00431836"/>
    <w:rsid w:val="0043278E"/>
    <w:rsid w:val="004339A9"/>
    <w:rsid w:val="00441061"/>
    <w:rsid w:val="00445512"/>
    <w:rsid w:val="00446A1B"/>
    <w:rsid w:val="00453344"/>
    <w:rsid w:val="00453CA1"/>
    <w:rsid w:val="004554E1"/>
    <w:rsid w:val="00460891"/>
    <w:rsid w:val="004630D7"/>
    <w:rsid w:val="004636F4"/>
    <w:rsid w:val="00464578"/>
    <w:rsid w:val="00464868"/>
    <w:rsid w:val="00470D31"/>
    <w:rsid w:val="00476170"/>
    <w:rsid w:val="00482102"/>
    <w:rsid w:val="00482E2F"/>
    <w:rsid w:val="00486ACD"/>
    <w:rsid w:val="004A3608"/>
    <w:rsid w:val="004A4FBD"/>
    <w:rsid w:val="004A5C1C"/>
    <w:rsid w:val="004A6ABC"/>
    <w:rsid w:val="004A7810"/>
    <w:rsid w:val="004A7E93"/>
    <w:rsid w:val="004B0F7A"/>
    <w:rsid w:val="004B1785"/>
    <w:rsid w:val="004B224C"/>
    <w:rsid w:val="004B23DD"/>
    <w:rsid w:val="004B5D6B"/>
    <w:rsid w:val="004B699E"/>
    <w:rsid w:val="004B7DCC"/>
    <w:rsid w:val="004C46A1"/>
    <w:rsid w:val="004C5CFD"/>
    <w:rsid w:val="004D12C0"/>
    <w:rsid w:val="004F1B3B"/>
    <w:rsid w:val="004F1B3D"/>
    <w:rsid w:val="004F2ED9"/>
    <w:rsid w:val="004F2F4E"/>
    <w:rsid w:val="004F681D"/>
    <w:rsid w:val="004F6B00"/>
    <w:rsid w:val="00504E61"/>
    <w:rsid w:val="00505994"/>
    <w:rsid w:val="00506E25"/>
    <w:rsid w:val="00517180"/>
    <w:rsid w:val="0052315E"/>
    <w:rsid w:val="0053092E"/>
    <w:rsid w:val="00530ED3"/>
    <w:rsid w:val="005355EE"/>
    <w:rsid w:val="00540B4D"/>
    <w:rsid w:val="005475A1"/>
    <w:rsid w:val="00554BF3"/>
    <w:rsid w:val="00565CEA"/>
    <w:rsid w:val="00567ECC"/>
    <w:rsid w:val="005713B1"/>
    <w:rsid w:val="005835F4"/>
    <w:rsid w:val="005841A3"/>
    <w:rsid w:val="0058496E"/>
    <w:rsid w:val="00591601"/>
    <w:rsid w:val="00593216"/>
    <w:rsid w:val="00594BC3"/>
    <w:rsid w:val="0059546F"/>
    <w:rsid w:val="00596DC8"/>
    <w:rsid w:val="00596F95"/>
    <w:rsid w:val="005A6360"/>
    <w:rsid w:val="005B4421"/>
    <w:rsid w:val="005B61EE"/>
    <w:rsid w:val="005C11BF"/>
    <w:rsid w:val="005C2F32"/>
    <w:rsid w:val="005C61B6"/>
    <w:rsid w:val="005C74B2"/>
    <w:rsid w:val="005D052C"/>
    <w:rsid w:val="005D0B4E"/>
    <w:rsid w:val="005D343F"/>
    <w:rsid w:val="005D4084"/>
    <w:rsid w:val="005D4777"/>
    <w:rsid w:val="005E05EC"/>
    <w:rsid w:val="005E3B47"/>
    <w:rsid w:val="005E7E82"/>
    <w:rsid w:val="005E7FF3"/>
    <w:rsid w:val="005F7AB6"/>
    <w:rsid w:val="005F7E3C"/>
    <w:rsid w:val="006000E3"/>
    <w:rsid w:val="00600F82"/>
    <w:rsid w:val="00601905"/>
    <w:rsid w:val="00602019"/>
    <w:rsid w:val="006063DA"/>
    <w:rsid w:val="006109B5"/>
    <w:rsid w:val="00611DD3"/>
    <w:rsid w:val="006173A4"/>
    <w:rsid w:val="00617C44"/>
    <w:rsid w:val="00621E25"/>
    <w:rsid w:val="006234A7"/>
    <w:rsid w:val="00631997"/>
    <w:rsid w:val="00632408"/>
    <w:rsid w:val="006324ED"/>
    <w:rsid w:val="00636570"/>
    <w:rsid w:val="00647B1E"/>
    <w:rsid w:val="00647FEB"/>
    <w:rsid w:val="0065008B"/>
    <w:rsid w:val="00652AC8"/>
    <w:rsid w:val="00653FD9"/>
    <w:rsid w:val="00656328"/>
    <w:rsid w:val="00657AD0"/>
    <w:rsid w:val="006622B9"/>
    <w:rsid w:val="006724D9"/>
    <w:rsid w:val="00673C33"/>
    <w:rsid w:val="0068584D"/>
    <w:rsid w:val="00687911"/>
    <w:rsid w:val="00697D5B"/>
    <w:rsid w:val="006A3126"/>
    <w:rsid w:val="006A5773"/>
    <w:rsid w:val="006B099C"/>
    <w:rsid w:val="006B4467"/>
    <w:rsid w:val="006C0EE5"/>
    <w:rsid w:val="006C5788"/>
    <w:rsid w:val="006C5931"/>
    <w:rsid w:val="006C5F6C"/>
    <w:rsid w:val="006D5403"/>
    <w:rsid w:val="006D60ED"/>
    <w:rsid w:val="006E1166"/>
    <w:rsid w:val="006E1947"/>
    <w:rsid w:val="006E322D"/>
    <w:rsid w:val="006E45E0"/>
    <w:rsid w:val="006E56A9"/>
    <w:rsid w:val="006E5FCC"/>
    <w:rsid w:val="006E7EF7"/>
    <w:rsid w:val="006F033F"/>
    <w:rsid w:val="006F2FD2"/>
    <w:rsid w:val="006F3446"/>
    <w:rsid w:val="006F5ED9"/>
    <w:rsid w:val="006F7242"/>
    <w:rsid w:val="006F762A"/>
    <w:rsid w:val="006F77E1"/>
    <w:rsid w:val="00701430"/>
    <w:rsid w:val="00703A9E"/>
    <w:rsid w:val="00704152"/>
    <w:rsid w:val="00704FB5"/>
    <w:rsid w:val="00706B71"/>
    <w:rsid w:val="00710208"/>
    <w:rsid w:val="0071136D"/>
    <w:rsid w:val="00713494"/>
    <w:rsid w:val="0071466E"/>
    <w:rsid w:val="00714A6C"/>
    <w:rsid w:val="007200B4"/>
    <w:rsid w:val="00724EF9"/>
    <w:rsid w:val="00725100"/>
    <w:rsid w:val="00725304"/>
    <w:rsid w:val="00725B78"/>
    <w:rsid w:val="00732704"/>
    <w:rsid w:val="00732787"/>
    <w:rsid w:val="00732D0C"/>
    <w:rsid w:val="00733EAD"/>
    <w:rsid w:val="007352DE"/>
    <w:rsid w:val="00740B71"/>
    <w:rsid w:val="00744110"/>
    <w:rsid w:val="00747A52"/>
    <w:rsid w:val="00752691"/>
    <w:rsid w:val="007526D5"/>
    <w:rsid w:val="007535C3"/>
    <w:rsid w:val="007543CC"/>
    <w:rsid w:val="00757C23"/>
    <w:rsid w:val="00762BC7"/>
    <w:rsid w:val="0076427C"/>
    <w:rsid w:val="0076626D"/>
    <w:rsid w:val="00770772"/>
    <w:rsid w:val="00772DE1"/>
    <w:rsid w:val="007745F9"/>
    <w:rsid w:val="00777563"/>
    <w:rsid w:val="00780765"/>
    <w:rsid w:val="00780B93"/>
    <w:rsid w:val="007814F5"/>
    <w:rsid w:val="00781B6F"/>
    <w:rsid w:val="00782DFD"/>
    <w:rsid w:val="00785474"/>
    <w:rsid w:val="0079168F"/>
    <w:rsid w:val="00791E62"/>
    <w:rsid w:val="00792847"/>
    <w:rsid w:val="0079421C"/>
    <w:rsid w:val="007A1C0A"/>
    <w:rsid w:val="007A1C59"/>
    <w:rsid w:val="007A6C68"/>
    <w:rsid w:val="007A6D3A"/>
    <w:rsid w:val="007A7C71"/>
    <w:rsid w:val="007B1B2F"/>
    <w:rsid w:val="007B722E"/>
    <w:rsid w:val="007C1CBB"/>
    <w:rsid w:val="007C31E2"/>
    <w:rsid w:val="007D091E"/>
    <w:rsid w:val="007D16B1"/>
    <w:rsid w:val="007D27FA"/>
    <w:rsid w:val="007D4CCF"/>
    <w:rsid w:val="007D55F7"/>
    <w:rsid w:val="007D7400"/>
    <w:rsid w:val="007E02A7"/>
    <w:rsid w:val="007E468A"/>
    <w:rsid w:val="007F3018"/>
    <w:rsid w:val="008012A0"/>
    <w:rsid w:val="008060C3"/>
    <w:rsid w:val="00807191"/>
    <w:rsid w:val="00813391"/>
    <w:rsid w:val="008133EC"/>
    <w:rsid w:val="00814F85"/>
    <w:rsid w:val="00821414"/>
    <w:rsid w:val="00826758"/>
    <w:rsid w:val="00826A2B"/>
    <w:rsid w:val="00834F52"/>
    <w:rsid w:val="00841DF0"/>
    <w:rsid w:val="008462F1"/>
    <w:rsid w:val="008523B1"/>
    <w:rsid w:val="008543F5"/>
    <w:rsid w:val="00857454"/>
    <w:rsid w:val="008604A8"/>
    <w:rsid w:val="00861AFA"/>
    <w:rsid w:val="008640C5"/>
    <w:rsid w:val="008666B5"/>
    <w:rsid w:val="00871708"/>
    <w:rsid w:val="0087467E"/>
    <w:rsid w:val="00876985"/>
    <w:rsid w:val="008771F9"/>
    <w:rsid w:val="00883160"/>
    <w:rsid w:val="00883780"/>
    <w:rsid w:val="00884A12"/>
    <w:rsid w:val="00885066"/>
    <w:rsid w:val="0088560D"/>
    <w:rsid w:val="0088665E"/>
    <w:rsid w:val="008923C8"/>
    <w:rsid w:val="00893260"/>
    <w:rsid w:val="00896815"/>
    <w:rsid w:val="008A1D54"/>
    <w:rsid w:val="008A398B"/>
    <w:rsid w:val="008A4FC4"/>
    <w:rsid w:val="008A59AD"/>
    <w:rsid w:val="008B0440"/>
    <w:rsid w:val="008B3911"/>
    <w:rsid w:val="008B5120"/>
    <w:rsid w:val="008B51FD"/>
    <w:rsid w:val="008C1939"/>
    <w:rsid w:val="008C368F"/>
    <w:rsid w:val="008C3D97"/>
    <w:rsid w:val="008C621C"/>
    <w:rsid w:val="008C64F7"/>
    <w:rsid w:val="008C697C"/>
    <w:rsid w:val="008C75ED"/>
    <w:rsid w:val="008C7649"/>
    <w:rsid w:val="008D4791"/>
    <w:rsid w:val="008D5812"/>
    <w:rsid w:val="008D5F15"/>
    <w:rsid w:val="008E032A"/>
    <w:rsid w:val="008E1A60"/>
    <w:rsid w:val="008E2636"/>
    <w:rsid w:val="008E78D7"/>
    <w:rsid w:val="008F40D1"/>
    <w:rsid w:val="008F4B5F"/>
    <w:rsid w:val="00914DF3"/>
    <w:rsid w:val="00915330"/>
    <w:rsid w:val="009318DD"/>
    <w:rsid w:val="00932AF9"/>
    <w:rsid w:val="0094260B"/>
    <w:rsid w:val="00942661"/>
    <w:rsid w:val="00944196"/>
    <w:rsid w:val="009452FD"/>
    <w:rsid w:val="0094558D"/>
    <w:rsid w:val="00946FCE"/>
    <w:rsid w:val="00950475"/>
    <w:rsid w:val="009515BC"/>
    <w:rsid w:val="0095492E"/>
    <w:rsid w:val="00957EE7"/>
    <w:rsid w:val="00960735"/>
    <w:rsid w:val="00962FD6"/>
    <w:rsid w:val="00965C07"/>
    <w:rsid w:val="00966EA1"/>
    <w:rsid w:val="00971847"/>
    <w:rsid w:val="0097221A"/>
    <w:rsid w:val="00972964"/>
    <w:rsid w:val="00973F6F"/>
    <w:rsid w:val="00974EF2"/>
    <w:rsid w:val="0097762F"/>
    <w:rsid w:val="00981CE1"/>
    <w:rsid w:val="00993912"/>
    <w:rsid w:val="00994D78"/>
    <w:rsid w:val="009A076E"/>
    <w:rsid w:val="009A15AC"/>
    <w:rsid w:val="009A5DB1"/>
    <w:rsid w:val="009A7C5A"/>
    <w:rsid w:val="009A7E51"/>
    <w:rsid w:val="009B207E"/>
    <w:rsid w:val="009C5238"/>
    <w:rsid w:val="009D12B4"/>
    <w:rsid w:val="009D1544"/>
    <w:rsid w:val="009D4CAE"/>
    <w:rsid w:val="009D5A11"/>
    <w:rsid w:val="009D7760"/>
    <w:rsid w:val="009E30CE"/>
    <w:rsid w:val="009F04C3"/>
    <w:rsid w:val="009F3EE5"/>
    <w:rsid w:val="009F65BD"/>
    <w:rsid w:val="00A01A4C"/>
    <w:rsid w:val="00A0340A"/>
    <w:rsid w:val="00A06616"/>
    <w:rsid w:val="00A1137C"/>
    <w:rsid w:val="00A14ECE"/>
    <w:rsid w:val="00A16126"/>
    <w:rsid w:val="00A1698F"/>
    <w:rsid w:val="00A21ADD"/>
    <w:rsid w:val="00A220A3"/>
    <w:rsid w:val="00A251E3"/>
    <w:rsid w:val="00A25DEE"/>
    <w:rsid w:val="00A27809"/>
    <w:rsid w:val="00A27A24"/>
    <w:rsid w:val="00A27B05"/>
    <w:rsid w:val="00A317B0"/>
    <w:rsid w:val="00A37630"/>
    <w:rsid w:val="00A43187"/>
    <w:rsid w:val="00A46B9E"/>
    <w:rsid w:val="00A47FE1"/>
    <w:rsid w:val="00A51556"/>
    <w:rsid w:val="00A5602A"/>
    <w:rsid w:val="00A56348"/>
    <w:rsid w:val="00A5635F"/>
    <w:rsid w:val="00A5703F"/>
    <w:rsid w:val="00A578C0"/>
    <w:rsid w:val="00A63451"/>
    <w:rsid w:val="00A70F69"/>
    <w:rsid w:val="00A73ABB"/>
    <w:rsid w:val="00A806AA"/>
    <w:rsid w:val="00A82173"/>
    <w:rsid w:val="00A826BF"/>
    <w:rsid w:val="00A87DCA"/>
    <w:rsid w:val="00A87F31"/>
    <w:rsid w:val="00A92871"/>
    <w:rsid w:val="00A955EB"/>
    <w:rsid w:val="00A9577D"/>
    <w:rsid w:val="00AA1CB6"/>
    <w:rsid w:val="00AA1F49"/>
    <w:rsid w:val="00AA6968"/>
    <w:rsid w:val="00AB0765"/>
    <w:rsid w:val="00AB17CD"/>
    <w:rsid w:val="00AB2190"/>
    <w:rsid w:val="00AB3F27"/>
    <w:rsid w:val="00AB3FD9"/>
    <w:rsid w:val="00AB7DE7"/>
    <w:rsid w:val="00AC4232"/>
    <w:rsid w:val="00AC558A"/>
    <w:rsid w:val="00AE0B66"/>
    <w:rsid w:val="00AE3842"/>
    <w:rsid w:val="00AE3856"/>
    <w:rsid w:val="00AE3A30"/>
    <w:rsid w:val="00AE5D48"/>
    <w:rsid w:val="00AE786E"/>
    <w:rsid w:val="00AE7FE4"/>
    <w:rsid w:val="00AF17D3"/>
    <w:rsid w:val="00AF1AEE"/>
    <w:rsid w:val="00B111F7"/>
    <w:rsid w:val="00B1719A"/>
    <w:rsid w:val="00B22E57"/>
    <w:rsid w:val="00B22F9B"/>
    <w:rsid w:val="00B257E3"/>
    <w:rsid w:val="00B279B9"/>
    <w:rsid w:val="00B30EA9"/>
    <w:rsid w:val="00B327E6"/>
    <w:rsid w:val="00B34696"/>
    <w:rsid w:val="00B34AF8"/>
    <w:rsid w:val="00B34F48"/>
    <w:rsid w:val="00B42C28"/>
    <w:rsid w:val="00B52DD8"/>
    <w:rsid w:val="00B56A26"/>
    <w:rsid w:val="00B6110A"/>
    <w:rsid w:val="00B6176A"/>
    <w:rsid w:val="00B61DC8"/>
    <w:rsid w:val="00B640F5"/>
    <w:rsid w:val="00B65614"/>
    <w:rsid w:val="00B65E05"/>
    <w:rsid w:val="00B65F8E"/>
    <w:rsid w:val="00B73D8C"/>
    <w:rsid w:val="00B80461"/>
    <w:rsid w:val="00B86EF1"/>
    <w:rsid w:val="00B937D4"/>
    <w:rsid w:val="00B961B7"/>
    <w:rsid w:val="00B9772B"/>
    <w:rsid w:val="00BA451E"/>
    <w:rsid w:val="00BA516F"/>
    <w:rsid w:val="00BA628C"/>
    <w:rsid w:val="00BA7C78"/>
    <w:rsid w:val="00BB3805"/>
    <w:rsid w:val="00BB6740"/>
    <w:rsid w:val="00BC269B"/>
    <w:rsid w:val="00BC27D2"/>
    <w:rsid w:val="00BC406A"/>
    <w:rsid w:val="00BD0EC5"/>
    <w:rsid w:val="00BD3016"/>
    <w:rsid w:val="00BE0C6C"/>
    <w:rsid w:val="00BE4857"/>
    <w:rsid w:val="00BF2B3E"/>
    <w:rsid w:val="00C00DB8"/>
    <w:rsid w:val="00C0480F"/>
    <w:rsid w:val="00C054C4"/>
    <w:rsid w:val="00C106CE"/>
    <w:rsid w:val="00C10B5E"/>
    <w:rsid w:val="00C12BBD"/>
    <w:rsid w:val="00C131F0"/>
    <w:rsid w:val="00C22E6C"/>
    <w:rsid w:val="00C31467"/>
    <w:rsid w:val="00C3308E"/>
    <w:rsid w:val="00C34CCB"/>
    <w:rsid w:val="00C36720"/>
    <w:rsid w:val="00C37518"/>
    <w:rsid w:val="00C42A3A"/>
    <w:rsid w:val="00C4517F"/>
    <w:rsid w:val="00C4660E"/>
    <w:rsid w:val="00C52BA5"/>
    <w:rsid w:val="00C56B7F"/>
    <w:rsid w:val="00C634A0"/>
    <w:rsid w:val="00C6460D"/>
    <w:rsid w:val="00C65660"/>
    <w:rsid w:val="00C670FE"/>
    <w:rsid w:val="00C7665B"/>
    <w:rsid w:val="00C87666"/>
    <w:rsid w:val="00C91BE2"/>
    <w:rsid w:val="00C9339F"/>
    <w:rsid w:val="00C94E71"/>
    <w:rsid w:val="00C9753B"/>
    <w:rsid w:val="00CA05E7"/>
    <w:rsid w:val="00CA4A62"/>
    <w:rsid w:val="00CA79FB"/>
    <w:rsid w:val="00CB2757"/>
    <w:rsid w:val="00CB2DD7"/>
    <w:rsid w:val="00CB5840"/>
    <w:rsid w:val="00CB7235"/>
    <w:rsid w:val="00CC17DB"/>
    <w:rsid w:val="00CC2344"/>
    <w:rsid w:val="00CC2F01"/>
    <w:rsid w:val="00CC417B"/>
    <w:rsid w:val="00CC5384"/>
    <w:rsid w:val="00CC6453"/>
    <w:rsid w:val="00CD31EA"/>
    <w:rsid w:val="00CD6742"/>
    <w:rsid w:val="00CD692F"/>
    <w:rsid w:val="00CE1CF5"/>
    <w:rsid w:val="00CE5481"/>
    <w:rsid w:val="00CE5866"/>
    <w:rsid w:val="00CF0045"/>
    <w:rsid w:val="00CF1187"/>
    <w:rsid w:val="00CF2DDB"/>
    <w:rsid w:val="00CF4554"/>
    <w:rsid w:val="00CF7194"/>
    <w:rsid w:val="00CF7C90"/>
    <w:rsid w:val="00CF7EA0"/>
    <w:rsid w:val="00D00097"/>
    <w:rsid w:val="00D00AEE"/>
    <w:rsid w:val="00D06299"/>
    <w:rsid w:val="00D07B68"/>
    <w:rsid w:val="00D1068B"/>
    <w:rsid w:val="00D13B0B"/>
    <w:rsid w:val="00D13CCF"/>
    <w:rsid w:val="00D13FD0"/>
    <w:rsid w:val="00D14CF7"/>
    <w:rsid w:val="00D20062"/>
    <w:rsid w:val="00D24AEE"/>
    <w:rsid w:val="00D25E7E"/>
    <w:rsid w:val="00D2710A"/>
    <w:rsid w:val="00D3073E"/>
    <w:rsid w:val="00D316C8"/>
    <w:rsid w:val="00D365BB"/>
    <w:rsid w:val="00D37AB5"/>
    <w:rsid w:val="00D40C74"/>
    <w:rsid w:val="00D43282"/>
    <w:rsid w:val="00D43EA4"/>
    <w:rsid w:val="00D5128E"/>
    <w:rsid w:val="00D567EC"/>
    <w:rsid w:val="00D57CF1"/>
    <w:rsid w:val="00D62712"/>
    <w:rsid w:val="00D728FA"/>
    <w:rsid w:val="00D73EEE"/>
    <w:rsid w:val="00D744DC"/>
    <w:rsid w:val="00D776C3"/>
    <w:rsid w:val="00D83E8C"/>
    <w:rsid w:val="00D846AD"/>
    <w:rsid w:val="00D86737"/>
    <w:rsid w:val="00D90A67"/>
    <w:rsid w:val="00D9153B"/>
    <w:rsid w:val="00D92AAE"/>
    <w:rsid w:val="00D93F89"/>
    <w:rsid w:val="00D95D78"/>
    <w:rsid w:val="00DA0810"/>
    <w:rsid w:val="00DB33A8"/>
    <w:rsid w:val="00DC07E9"/>
    <w:rsid w:val="00DC3B61"/>
    <w:rsid w:val="00DC4C70"/>
    <w:rsid w:val="00DC7C37"/>
    <w:rsid w:val="00DD450B"/>
    <w:rsid w:val="00DD73CE"/>
    <w:rsid w:val="00DE0444"/>
    <w:rsid w:val="00DE0476"/>
    <w:rsid w:val="00DE4D72"/>
    <w:rsid w:val="00DF1125"/>
    <w:rsid w:val="00DF1C10"/>
    <w:rsid w:val="00DF53F3"/>
    <w:rsid w:val="00E01EF4"/>
    <w:rsid w:val="00E02CF2"/>
    <w:rsid w:val="00E02E8D"/>
    <w:rsid w:val="00E0444C"/>
    <w:rsid w:val="00E04F7C"/>
    <w:rsid w:val="00E04FB0"/>
    <w:rsid w:val="00E114D8"/>
    <w:rsid w:val="00E2126B"/>
    <w:rsid w:val="00E22346"/>
    <w:rsid w:val="00E22B84"/>
    <w:rsid w:val="00E25A62"/>
    <w:rsid w:val="00E26045"/>
    <w:rsid w:val="00E26BDB"/>
    <w:rsid w:val="00E27304"/>
    <w:rsid w:val="00E320A0"/>
    <w:rsid w:val="00E337F5"/>
    <w:rsid w:val="00E401ED"/>
    <w:rsid w:val="00E413A9"/>
    <w:rsid w:val="00E440C7"/>
    <w:rsid w:val="00E51783"/>
    <w:rsid w:val="00E6161C"/>
    <w:rsid w:val="00E61B31"/>
    <w:rsid w:val="00E62DEC"/>
    <w:rsid w:val="00E665A1"/>
    <w:rsid w:val="00E72230"/>
    <w:rsid w:val="00E72F2A"/>
    <w:rsid w:val="00E748EC"/>
    <w:rsid w:val="00E8007A"/>
    <w:rsid w:val="00E833CB"/>
    <w:rsid w:val="00E83FB2"/>
    <w:rsid w:val="00E87982"/>
    <w:rsid w:val="00E87E52"/>
    <w:rsid w:val="00E87FA9"/>
    <w:rsid w:val="00E95AC2"/>
    <w:rsid w:val="00EA0169"/>
    <w:rsid w:val="00EA370A"/>
    <w:rsid w:val="00EB254B"/>
    <w:rsid w:val="00EB5434"/>
    <w:rsid w:val="00EB5D6C"/>
    <w:rsid w:val="00EC049F"/>
    <w:rsid w:val="00EC2732"/>
    <w:rsid w:val="00EC4C14"/>
    <w:rsid w:val="00ED194C"/>
    <w:rsid w:val="00ED2358"/>
    <w:rsid w:val="00ED2C26"/>
    <w:rsid w:val="00ED5EC2"/>
    <w:rsid w:val="00EE0B46"/>
    <w:rsid w:val="00EE13E2"/>
    <w:rsid w:val="00EE1947"/>
    <w:rsid w:val="00EE21DD"/>
    <w:rsid w:val="00EE7F64"/>
    <w:rsid w:val="00EF1A24"/>
    <w:rsid w:val="00EF2422"/>
    <w:rsid w:val="00EF34F8"/>
    <w:rsid w:val="00EF39D1"/>
    <w:rsid w:val="00EF71E1"/>
    <w:rsid w:val="00F00DDF"/>
    <w:rsid w:val="00F01EEF"/>
    <w:rsid w:val="00F05EAF"/>
    <w:rsid w:val="00F1029A"/>
    <w:rsid w:val="00F119F0"/>
    <w:rsid w:val="00F11D51"/>
    <w:rsid w:val="00F1353B"/>
    <w:rsid w:val="00F14142"/>
    <w:rsid w:val="00F17762"/>
    <w:rsid w:val="00F17C06"/>
    <w:rsid w:val="00F2548A"/>
    <w:rsid w:val="00F26A27"/>
    <w:rsid w:val="00F311C9"/>
    <w:rsid w:val="00F34E93"/>
    <w:rsid w:val="00F364CF"/>
    <w:rsid w:val="00F40824"/>
    <w:rsid w:val="00F4474B"/>
    <w:rsid w:val="00F534C0"/>
    <w:rsid w:val="00F54D73"/>
    <w:rsid w:val="00F57E0B"/>
    <w:rsid w:val="00F623B6"/>
    <w:rsid w:val="00F6394B"/>
    <w:rsid w:val="00F720FB"/>
    <w:rsid w:val="00F77A26"/>
    <w:rsid w:val="00F77C18"/>
    <w:rsid w:val="00F80602"/>
    <w:rsid w:val="00F91101"/>
    <w:rsid w:val="00F91223"/>
    <w:rsid w:val="00F92112"/>
    <w:rsid w:val="00F9598E"/>
    <w:rsid w:val="00F96994"/>
    <w:rsid w:val="00F9735A"/>
    <w:rsid w:val="00FA42F4"/>
    <w:rsid w:val="00FA6D0F"/>
    <w:rsid w:val="00FA713F"/>
    <w:rsid w:val="00FA7A58"/>
    <w:rsid w:val="00FB0B93"/>
    <w:rsid w:val="00FB14A0"/>
    <w:rsid w:val="00FB3C51"/>
    <w:rsid w:val="00FB52F2"/>
    <w:rsid w:val="00FC48DD"/>
    <w:rsid w:val="00FC67E5"/>
    <w:rsid w:val="00FC6BFF"/>
    <w:rsid w:val="00FD04EB"/>
    <w:rsid w:val="00FD0CB5"/>
    <w:rsid w:val="00FD131D"/>
    <w:rsid w:val="00FD5177"/>
    <w:rsid w:val="00FD6B11"/>
    <w:rsid w:val="00FE35E1"/>
    <w:rsid w:val="00FE6204"/>
    <w:rsid w:val="00FF1C9C"/>
    <w:rsid w:val="00FF1FBC"/>
    <w:rsid w:val="00FF62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0582886">
      <w:bodyDiv w:val="1"/>
      <w:marLeft w:val="0"/>
      <w:marRight w:val="0"/>
      <w:marTop w:val="0"/>
      <w:marBottom w:val="0"/>
      <w:divBdr>
        <w:top w:val="none" w:sz="0" w:space="0" w:color="auto"/>
        <w:left w:val="none" w:sz="0" w:space="0" w:color="auto"/>
        <w:bottom w:val="none" w:sz="0" w:space="0" w:color="auto"/>
        <w:right w:val="none" w:sz="0" w:space="0" w:color="auto"/>
      </w:divBdr>
    </w:div>
    <w:div w:id="281614868">
      <w:bodyDiv w:val="1"/>
      <w:marLeft w:val="0"/>
      <w:marRight w:val="0"/>
      <w:marTop w:val="0"/>
      <w:marBottom w:val="0"/>
      <w:divBdr>
        <w:top w:val="none" w:sz="0" w:space="0" w:color="auto"/>
        <w:left w:val="none" w:sz="0" w:space="0" w:color="auto"/>
        <w:bottom w:val="none" w:sz="0" w:space="0" w:color="auto"/>
        <w:right w:val="none" w:sz="0" w:space="0" w:color="auto"/>
      </w:divBdr>
    </w:div>
    <w:div w:id="444159525">
      <w:bodyDiv w:val="1"/>
      <w:marLeft w:val="0"/>
      <w:marRight w:val="0"/>
      <w:marTop w:val="0"/>
      <w:marBottom w:val="0"/>
      <w:divBdr>
        <w:top w:val="none" w:sz="0" w:space="0" w:color="auto"/>
        <w:left w:val="none" w:sz="0" w:space="0" w:color="auto"/>
        <w:bottom w:val="none" w:sz="0" w:space="0" w:color="auto"/>
        <w:right w:val="none" w:sz="0" w:space="0" w:color="auto"/>
      </w:divBdr>
    </w:div>
    <w:div w:id="1300725661">
      <w:bodyDiv w:val="1"/>
      <w:marLeft w:val="0"/>
      <w:marRight w:val="0"/>
      <w:marTop w:val="0"/>
      <w:marBottom w:val="0"/>
      <w:divBdr>
        <w:top w:val="none" w:sz="0" w:space="0" w:color="auto"/>
        <w:left w:val="none" w:sz="0" w:space="0" w:color="auto"/>
        <w:bottom w:val="none" w:sz="0" w:space="0" w:color="auto"/>
        <w:right w:val="none" w:sz="0" w:space="0" w:color="auto"/>
      </w:divBdr>
    </w:div>
    <w:div w:id="1309743973">
      <w:bodyDiv w:val="1"/>
      <w:marLeft w:val="0"/>
      <w:marRight w:val="0"/>
      <w:marTop w:val="0"/>
      <w:marBottom w:val="0"/>
      <w:divBdr>
        <w:top w:val="none" w:sz="0" w:space="0" w:color="auto"/>
        <w:left w:val="none" w:sz="0" w:space="0" w:color="auto"/>
        <w:bottom w:val="none" w:sz="0" w:space="0" w:color="auto"/>
        <w:right w:val="none" w:sz="0" w:space="0" w:color="auto"/>
      </w:divBdr>
    </w:div>
    <w:div w:id="1654523652">
      <w:bodyDiv w:val="1"/>
      <w:marLeft w:val="0"/>
      <w:marRight w:val="0"/>
      <w:marTop w:val="0"/>
      <w:marBottom w:val="0"/>
      <w:divBdr>
        <w:top w:val="none" w:sz="0" w:space="0" w:color="auto"/>
        <w:left w:val="none" w:sz="0" w:space="0" w:color="auto"/>
        <w:bottom w:val="none" w:sz="0" w:space="0" w:color="auto"/>
        <w:right w:val="none" w:sz="0" w:space="0" w:color="auto"/>
      </w:divBdr>
    </w:div>
    <w:div w:id="1760641287">
      <w:bodyDiv w:val="1"/>
      <w:marLeft w:val="0"/>
      <w:marRight w:val="0"/>
      <w:marTop w:val="0"/>
      <w:marBottom w:val="0"/>
      <w:divBdr>
        <w:top w:val="none" w:sz="0" w:space="0" w:color="auto"/>
        <w:left w:val="none" w:sz="0" w:space="0" w:color="auto"/>
        <w:bottom w:val="none" w:sz="0" w:space="0" w:color="auto"/>
        <w:right w:val="none" w:sz="0" w:space="0" w:color="auto"/>
      </w:divBdr>
    </w:div>
    <w:div w:id="2101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 TargetMode="External"/><Relationship Id="rId2" Type="http://schemas.openxmlformats.org/officeDocument/2006/relationships/hyperlink" Target="http://www.nsa.org.na/files/downloads/b51_Poverty%20Dynamics%20Report%20in%20Namibia.pdf" TargetMode="External"/><Relationship Id="rId1" Type="http://schemas.openxmlformats.org/officeDocument/2006/relationships/hyperlink" Target="http://www.nsa.org.na/files/downloads/12c_The%20Namibia%20Labour%20Force%20Survey%202012%20Report.pdf" TargetMode="External"/><Relationship Id="rId5" Type="http://schemas.openxmlformats.org/officeDocument/2006/relationships/hyperlink" Target="http://www.nsa.org.na/files/downloads/NHIES%20Main%20Report.pdf" TargetMode="External"/><Relationship Id="rId4" Type="http://schemas.openxmlformats.org/officeDocument/2006/relationships/hyperlink" Target="http://www.nsa.org.na/datas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2015-09-29T19:00:00+00:00</UNDPPublishedDate>
    <UNDPCountryTaxHTField0 xmlns="1ed4137b-41b2-488b-8250-6d369ec27664">
      <Terms xmlns="http://schemas.microsoft.com/office/infopath/2007/PartnerControls"/>
    </UNDPCountryTaxHTField0>
    <UndpOUCode xmlns="1ed4137b-41b2-488b-8250-6d369ec27664">NAM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00047136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ATLASPDC-4-40072</_dlc_DocId>
    <_dlc_DocIdUrl xmlns="f1161f5b-24a3-4c2d-bc81-44cb9325e8ee">
      <Url>https://info.undp.org/docs/pdc/_layouts/DocIdRedir.aspx?ID=ATLASPDC-4-40072</Url>
      <Description>ATLASPDC-4-40072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C6C2B9F-0560-4FC4-9E0F-003E4159DC1F}"/>
</file>

<file path=customXml/itemProps2.xml><?xml version="1.0" encoding="utf-8"?>
<ds:datastoreItem xmlns:ds="http://schemas.openxmlformats.org/officeDocument/2006/customXml" ds:itemID="{4B41A247-2BF9-427A-9BD2-78B83A283CC8}"/>
</file>

<file path=customXml/itemProps3.xml><?xml version="1.0" encoding="utf-8"?>
<ds:datastoreItem xmlns:ds="http://schemas.openxmlformats.org/officeDocument/2006/customXml" ds:itemID="{9DF78A7A-45DE-44D5-9E12-A1BD1861C8F0}"/>
</file>

<file path=customXml/itemProps4.xml><?xml version="1.0" encoding="utf-8"?>
<ds:datastoreItem xmlns:ds="http://schemas.openxmlformats.org/officeDocument/2006/customXml" ds:itemID="{687DBBFB-F094-42F0-884B-615F32367688}"/>
</file>

<file path=customXml/itemProps5.xml><?xml version="1.0" encoding="utf-8"?>
<ds:datastoreItem xmlns:ds="http://schemas.openxmlformats.org/officeDocument/2006/customXml" ds:itemID="{6BB42693-F7E0-4ABF-82E0-05757B0BC59A}"/>
</file>

<file path=customXml/itemProps6.xml><?xml version="1.0" encoding="utf-8"?>
<ds:datastoreItem xmlns:ds="http://schemas.openxmlformats.org/officeDocument/2006/customXml" ds:itemID="{AA8FA863-A027-439F-825B-BCCE3EAEAC52}"/>
</file>

<file path=docProps/app.xml><?xml version="1.0" encoding="utf-8"?>
<Properties xmlns="http://schemas.openxmlformats.org/officeDocument/2006/extended-properties" xmlns:vt="http://schemas.openxmlformats.org/officeDocument/2006/docPropsVTypes">
  <Template>Normal</Template>
  <TotalTime>0</TotalTime>
  <Pages>7</Pages>
  <Words>3492</Words>
  <Characters>21047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UNDP</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CPD 2014</dc:title>
  <dc:subject/>
  <dc:creator/>
  <cp:lastModifiedBy>Megan Van Turah</cp:lastModifiedBy>
  <cp:revision>2</cp:revision>
  <cp:lastPrinted>2013-05-08T18:28:00Z</cp:lastPrinted>
  <dcterms:created xsi:type="dcterms:W3CDTF">2015-09-29T18:56:00Z</dcterms:created>
  <dcterms:modified xsi:type="dcterms:W3CDTF">2015-09-29T18:56:00Z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09920de6-a0eb-44c9-b85a-5b2d2b7accea</vt:lpwstr>
  </property>
  <property fmtid="{D5CDD505-2E9C-101B-9397-08002B2CF9AE}" pid="18" name="URL">
    <vt:lpwstr/>
  </property>
  <property fmtid="{D5CDD505-2E9C-101B-9397-08002B2CF9AE}" pid="19" name="DocumentSetDescription">
    <vt:lpwstr/>
  </property>
</Properties>
</file>